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  <w:r>
        <w:br/>
      </w:r>
      <w:r>
        <w:rPr>
          <w:iCs/>
          <w:i/>
        </w:rPr>
        <w:t xml:space="preserve">по наполнению реестра границ в 2021 году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  <w:r>
        <w:br/>
      </w: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</w:t>
      </w:r>
      <w:r>
        <w:br/>
      </w: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</w:t>
      </w:r>
      <w:r>
        <w:br/>
      </w:r>
      <w:r>
        <w:t xml:space="preserve">и застройки определены границы и установлены градостроительные регламенты.</w:t>
      </w:r>
      <w:r>
        <w:br/>
      </w: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</w:t>
      </w:r>
      <w:r>
        <w:br/>
      </w: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</w:t>
      </w:r>
      <w:r>
        <w:br/>
      </w:r>
      <w:r>
        <w:t xml:space="preserve">в реестр недвижимости данные становятся общедоступными</w:t>
      </w:r>
      <w:r>
        <w:br/>
      </w: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  <w:r>
        <w:br/>
      </w: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http://lublino.mos.ru/directions-of-activities/cadastral-chambers/detail/10620925.html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620925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620925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2023-10-20T02:37:34Z</dcterms:created>
  <dcterms:modified xsi:type="dcterms:W3CDTF">2023-10-20T02:37:34Z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