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a9076d3074888ba5bc7fc2e19045977e93058d"/>
    <w:p>
      <w:pPr>
        <w:pStyle w:val="Heading3"/>
      </w:pPr>
      <w:r>
        <w:t xml:space="preserve">Год культурного наследия народов России: в столице продолжается активная работа, направленная на сохранение памятников архитектуры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и Столичный Департамент культурного наследия рассказали о результатах работ по внесению в Единый государственный реестр недвижимости (ЕГРН) сведений об объектах культурного наследия</w:t>
      </w:r>
    </w:p>
    <w:p>
      <w:pPr>
        <w:pStyle w:val="BodyText"/>
      </w:pPr>
      <w:r>
        <w:rPr>
          <w:bCs/>
          <w:b/>
        </w:rPr>
        <w:t xml:space="preserve">Владимир Путин объявил 2022 Годом культурного наследия народов России. Согласно Указу Президента текущий год будет посвящен популяризации народного искусства, а также сохранению культурных традиций, памятников истории и культуры, этнокультурного многообразия, культурной самобытности всех народов и этнических общностей. Во исполнение поручения по сохранению культурного достояния столицы Кадастровой палатой по Москве совместно</w:t>
      </w:r>
      <w:r>
        <w:br/>
      </w:r>
      <w:r>
        <w:rPr>
          <w:bCs/>
          <w:b/>
        </w:rPr>
        <w:t xml:space="preserve">с Департаментом культурного наследия города Москвы проводятся работы</w:t>
      </w:r>
      <w:r>
        <w:br/>
      </w:r>
      <w:r>
        <w:rPr>
          <w:bCs/>
          <w:b/>
        </w:rPr>
        <w:t xml:space="preserve">по наполнению ЕГРН сведениями об объектах культурного наследия,</w:t>
      </w:r>
      <w:r>
        <w:br/>
      </w:r>
      <w:r>
        <w:rPr>
          <w:bCs/>
          <w:b/>
        </w:rPr>
        <w:t xml:space="preserve">их территориях и зонах охраны.</w:t>
      </w:r>
    </w:p>
    <w:p>
      <w:pPr>
        <w:pStyle w:val="BodyText"/>
      </w:pPr>
      <w:r>
        <w:t xml:space="preserve">Историко-культурное наследие России – основной источник формирования</w:t>
      </w:r>
      <w:r>
        <w:br/>
      </w:r>
      <w:r>
        <w:t xml:space="preserve">и развития человека, этноса, хранилище накопленного поколениями опыта. Памятники культуры, созданные нашими предками, играют весомую роль в жизни нашего общества, а также представляют особую ценность для истории страны.</w:t>
      </w:r>
    </w:p>
    <w:p>
      <w:pPr>
        <w:pStyle w:val="BodyText"/>
      </w:pPr>
      <w:r>
        <w:rPr>
          <w:iCs/>
          <w:i/>
        </w:rPr>
        <w:t xml:space="preserve">«Совместно с Кадастровой палатой по Москве мы продолжаем масштабную работу по включению в ЕГРН сведений о столичных объектах культурного наследия, их зонах и территориях охраны,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руководитель Департамента культурного наследия города Москвы Алексей Емельянов.</w:t>
      </w:r>
      <w:r>
        <w:t xml:space="preserve"> </w:t>
      </w:r>
      <w:r>
        <w:rPr>
          <w:iCs/>
          <w:i/>
        </w:rPr>
        <w:t xml:space="preserve">- Наличие таких сведений в реестре недвижимости упрощает процесс планирования развития территорий, а также играет важную роль для обеспечения инвестиционной и предпринимательской деятельности».</w:t>
      </w:r>
    </w:p>
    <w:p>
      <w:pPr>
        <w:pStyle w:val="BodyText"/>
      </w:pPr>
      <w:r>
        <w:t xml:space="preserve">Памятники истории и культуры представляют особую ценность для всего многонационального народа нашей страны. Поэтому законодательством предусмотрен комплекс мер, направленных на выявление, учет и сохранение объектов культурного наследия. Одной из таких мер является наполнение государственного реестра недвижимости актуальными сведениями.</w:t>
      </w:r>
    </w:p>
    <w:p>
      <w:pPr>
        <w:pStyle w:val="BodyText"/>
      </w:pPr>
      <w:r>
        <w:rPr>
          <w:iCs/>
          <w:i/>
        </w:rPr>
        <w:t xml:space="preserve">«Благодаря слаженной многолетней работе с Департаментом культурного наследия города Москвы в ЕГРН внесены сведения об около 3 тысячах памятников истории и культуры, о почти 2 тысячах территорий объектов культурного наследия и о более 500 зонах охраны», -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Отметим, что несоблюдение правил использования объекта культурного наследия, предусмотренных</w:t>
      </w:r>
      <w:r>
        <w:t xml:space="preserve"> </w:t>
      </w:r>
      <w:hyperlink r:id="rId20">
        <w:r>
          <w:rPr>
            <w:rStyle w:val="Hyperlink"/>
          </w:rPr>
          <w:t xml:space="preserve">законодательством в области охраны культурного наследия</w:t>
        </w:r>
      </w:hyperlink>
      <w:r>
        <w:t xml:space="preserve">, может повлечь неприятные последствия для собственника или пользователя, например, изъятие такого объекта в судебном порядке. Если же объект был разрушен, уничтожен по вине собственника или пользователя, то земельный участок, на котором находилось строение, будет изъят в соответствии с российским законодательством.</w:t>
      </w:r>
    </w:p>
    <w:p>
      <w:pPr>
        <w:pStyle w:val="BodyText"/>
      </w:pPr>
      <w:r>
        <w:t xml:space="preserve">Узнать является ли объект недвижимости объектом культурного наследия, можно заказав сведения из ЕГРН посредством</w:t>
      </w:r>
      <w:r>
        <w:t xml:space="preserve"> </w:t>
      </w:r>
      <w:hyperlink r:id="rId21">
        <w:r>
          <w:rPr>
            <w:rStyle w:val="Hyperlink"/>
          </w:rPr>
          <w:t xml:space="preserve">онлайн-сервиса 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электронного сервиса Росреестра</w:t>
        </w:r>
      </w:hyperlink>
      <w:r>
        <w:t xml:space="preserve">. С полным перечнем объектов культурного наследия можно ознакомится на</w:t>
      </w:r>
      <w:r>
        <w:t xml:space="preserve"> </w:t>
      </w:r>
      <w:hyperlink r:id="rId23">
        <w:r>
          <w:rPr>
            <w:rStyle w:val="Hyperlink"/>
          </w:rPr>
          <w:t xml:space="preserve">открытом портале Министерства культуры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4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http://lublino.mos.ru/directions-of-activities/cadastral-chambers/detail/10620937.html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cadastral-chambers/detail/10620937.html" TargetMode="External" /><Relationship Type="http://schemas.openxmlformats.org/officeDocument/2006/relationships/hyperlink" Id="rId20" Target="http://www.consultant.ru/document/cons_doc_LAW_37318/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2" Target="https://rosreestr.gov.ru/wps/portal/p/cc_present/EGRN_1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cadastral-chambers/detail/10620937.html" TargetMode="External" /><Relationship Type="http://schemas.openxmlformats.org/officeDocument/2006/relationships/hyperlink" Id="rId20" Target="http://www.consultant.ru/document/cons_doc_LAW_37318/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2" Target="https://rosreestr.gov.ru/wps/portal/p/cc_present/EGRN_1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2025-05-02T21:41:04Z</dcterms:created>
  <dcterms:modified xsi:type="dcterms:W3CDTF">2025-05-02T21:41:04Z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