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e56773a9a164e7712790f7433be752249572a"/>
    <w:p>
      <w:pPr>
        <w:pStyle w:val="Heading3"/>
      </w:pPr>
      <w:r>
        <w:t xml:space="preserve">Кадастровая палата по Москве разъясняет основные положения Постановления Правительства РФ от 26.03.2019 № 319 «О единой информационной системе жилищного строительства»</w:t>
      </w:r>
    </w:p>
    <w:p>
      <w:pPr>
        <w:pStyle w:val="FirstParagraph"/>
      </w:pPr>
      <w:r>
        <w:t xml:space="preserve">24.05.2019</w:t>
      </w:r>
    </w:p>
    <w:p>
      <w:pPr>
        <w:pStyle w:val="BodyText"/>
      </w:pPr>
      <w:r>
        <w:t xml:space="preserve">С 28 мая 2019 года вступает в силу Постановление Правительства РФ от 26.03.2019 № 319 «О единой информационной системе жилищного строительства» (далее – Постановление). Кадастровая палата по Москве рассказывает об основных его положениях и требованиях.</w:t>
      </w:r>
      <w:r>
        <w:t xml:space="preserve"> </w:t>
      </w:r>
      <w:r>
        <w:t xml:space="preserve">Единая информационная система жилищного строительства (далее – ЕИСЖС) заработала еще в январе 2018 года. В системе размещаются данные Росреестра, Банка России, Росстата, Фонда содействия реформирования ЖКХ, региональных органов исполнительной власти и подведомственных организаций, а также Фонда защиты прав граждан-участников долевого строительства. Оператором системы выступил единый институт развития в жилищной сфере - АО «ДОМ.РФ» (наш.дом.рф).</w:t>
      </w:r>
      <w:r>
        <w:t xml:space="preserve"> </w:t>
      </w:r>
      <w:r>
        <w:t xml:space="preserve">Постановлением установлены требования к технологическим, программным, лингвистическим, правовым и организационным средствам ЕИСЖС, порядок размещения, хранения и обработки информации. Кроме того, в документе указывается перечень информации, которую в обязательном порядке должны размещать в ЕИСЖС застройщики, соответствующие органы власти и уполномоченные банки, контролирующие назначение и размер расходования застройщиками денежных средств, привлеченных для долевого строительства.</w:t>
      </w:r>
      <w:r>
        <w:t xml:space="preserve"> </w:t>
      </w:r>
      <w:r>
        <w:t xml:space="preserve">Например, застройщик обязан размещать все основные документы, касающиеся строящегося объекта, полученное застройщиком разрешение на ввод в эксплуатацию объекта недвижимости, заключение экспертизы проектной документации в отношении каждого объекта недвижимости, бухгалтерскую (финансовую) отчетность, фотографии каждого строящегося объекта недвижимости, градостроительные планы земельных участков, справки застройщика о размере собственных средств и соблюдении нормативов финансовой устойчивости за каждый истекший квартал и прочее. Информацию, размещенную в ЕИСЖС, удалять запрещено. Большая часть данных, содержащихся в информационной системе будет доступна для любого пользователя.</w:t>
      </w:r>
      <w:r>
        <w:t xml:space="preserve"> </w:t>
      </w:r>
      <w:r>
        <w:t xml:space="preserve">Таким образом, информация о застройщиках и объектах недвижимости станет более прозрачной и общедоступной, а мониторинг вносимых данных поможет анализировать сведения о строящихся объектах, отслеживать нарушения и выявлять потенциально проблемные объекты.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http://lublino.mos.ru/directions-of-activities/cadastral-chambers/detail/8106274.html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1062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1062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2025-06-09T19:44:54Z</dcterms:created>
  <dcterms:modified xsi:type="dcterms:W3CDTF">2025-06-09T19:44:54Z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