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8652bd438ad796bf6fa4bba145c1e67fd15963"/>
    <w:p>
      <w:pPr>
        <w:pStyle w:val="Heading3"/>
      </w:pPr>
      <w:r>
        <w:t xml:space="preserve">Кадастровая палата по Москве разъясняет положения проекта Федерального закона об ответственности за перепродажу сведений из ЕГРН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   Росреестр совместно с Министерством экономического развития разрабатывает законопроект об установлении ответственности за перепродажу сведений из Единого государственного реестра недвижимости (ЕГРН). Поправки будут внесены в Кодекс об административных нарушениях (КоАП) и Федеральный закон от 07.07.2003 № 126-ФЗ «О связи».</w:t>
      </w:r>
    </w:p>
    <w:p>
      <w:pPr>
        <w:pStyle w:val="BodyText"/>
      </w:pPr>
      <w:r>
        <w:t xml:space="preserve">   По информации Росреестра объемы теневого рынка по перепродаже сведений из ЕГРН с 2017 года достигли 2,5 миллиардов рублей. В целях разрешения сложившейся ситуации Минэкономразвитием России подготовлен проект Федерального закона «О внесении изменений в Кодекс Российской Федерации об административных правонарушениях в части противодействия созданию «сайтов-двойников», предлагающих за плату государственные услуги, оказание которых осуществляет Федеральная служба государственной регистрации, кадастра и картографии».</w:t>
      </w:r>
    </w:p>
    <w:p>
      <w:pPr>
        <w:pStyle w:val="BodyText"/>
      </w:pPr>
      <w:r>
        <w:t xml:space="preserve">   Целью законопроекта является запрет возможности любым лицам (гражданам или организациям) передавать за плату сведения ЕГРН третьим лицам.</w:t>
      </w:r>
    </w:p>
    <w:p>
      <w:pPr>
        <w:pStyle w:val="BodyText"/>
      </w:pPr>
      <w:r>
        <w:t xml:space="preserve">   Поправки в Кодекс об административных правонарушениях (КоАП) предусматривают следующие штрафы за предоставление за плату сведений из ЕГРН третьим лицам:</w:t>
      </w:r>
    </w:p>
    <w:p>
      <w:pPr>
        <w:pStyle w:val="BodyText"/>
      </w:pPr>
      <w:r>
        <w:t xml:space="preserve">· 50 000 рублей (или дисквалификация от одного до трех лет) для гражданина и должностного лица,</w:t>
      </w:r>
    </w:p>
    <w:p>
      <w:pPr>
        <w:pStyle w:val="BodyText"/>
      </w:pPr>
      <w:r>
        <w:t xml:space="preserve">· 100 000 рублей для индивидуального предпринимателя,</w:t>
      </w:r>
    </w:p>
    <w:p>
      <w:pPr>
        <w:pStyle w:val="BodyText"/>
      </w:pPr>
      <w:r>
        <w:t xml:space="preserve">· 400 000 рублей для юридического лица.</w:t>
      </w:r>
    </w:p>
    <w:p>
      <w:pPr>
        <w:pStyle w:val="BodyText"/>
      </w:pPr>
      <w:r>
        <w:t xml:space="preserve">   За повторное нарушение штрафы будут увеличены.</w:t>
      </w:r>
    </w:p>
    <w:p>
      <w:pPr>
        <w:pStyle w:val="BodyText"/>
      </w:pPr>
      <w:r>
        <w:t xml:space="preserve">   Также предполагается осуществление блокировки «сайтов-двойников», распространяющих сведения ЕГРН, поскольку компании-посредники не могут гарантировать актуальность и достоверность предоставленной информации.</w:t>
      </w:r>
    </w:p>
    <w:p>
      <w:pPr>
        <w:pStyle w:val="BodyText"/>
      </w:pPr>
      <w:r>
        <w:t xml:space="preserve">   На сегодняшний день открытые данные об объекте недвижимости из единого реестра может получить любой заявитель, даже не являясь его собственником. Заинтересованное лицо может запросить и оперативно получить сведения напрямую в Росреестре.</w:t>
      </w:r>
    </w:p>
    <w:p>
      <w:pPr>
        <w:pStyle w:val="BodyText"/>
      </w:pPr>
      <w:r>
        <w:t xml:space="preserve">   Таким образом, проект закона не предлагает менять процедуру предоставления сведений ЕГРН, а вводит административную ответственность за перепродажу сведений, содержащихся в государственном реестре.</w:t>
      </w:r>
    </w:p>
    <w:p>
      <w:pPr>
        <w:pStyle w:val="BodyText"/>
      </w:pPr>
      <w:r>
        <w:t xml:space="preserve">   Введение штрафов за выдачу сведений из ЕГРН за плату любыми лицами, кроме Росреестра, позволит предотвратить риски нарушения прав заявителей, а также снизить затраты заявителей на получение государственных услуг.</w:t>
      </w:r>
    </w:p>
    <w:p>
      <w:pPr>
        <w:pStyle w:val="BodyText"/>
      </w:pPr>
      <w:r>
        <w:t xml:space="preserve">   Напоминаем, что получить сведения ЕГРН и другие услуги Росреестра можно в офисах МФЦ, Кадастровой палаты по Москве, а также в электронном виде, воспользовавшись порталом Росреестра (</w:t>
      </w:r>
      <w:hyperlink r:id="rId20">
        <w:r>
          <w:rPr>
            <w:rStyle w:val="Hyperlink"/>
            <w:u w:val="single"/>
          </w:rPr>
          <w:t xml:space="preserve">www.rosreestr.ru</w:t>
        </w:r>
      </w:hyperlink>
      <w:r>
        <w:t xml:space="preserve">) либо Единым порталом государственных услуг (</w:t>
      </w:r>
      <w:hyperlink r:id="rId21">
        <w:r>
          <w:rPr>
            <w:rStyle w:val="Hyperlink"/>
            <w:u w:val="single"/>
          </w:rPr>
          <w:t xml:space="preserve">www.gosuslugi.ru</w:t>
        </w:r>
      </w:hyperlink>
      <w:r>
        <w:t xml:space="preserve">). Консультацию по работе электронных сервисов официального сайта Росреестра можно получить по телефону контактного центра 8-800-100-34-34.</w:t>
      </w:r>
    </w:p>
    <w:p>
      <w:pPr>
        <w:pStyle w:val="BodyText"/>
      </w:pPr>
      <w:r>
        <w:rPr>
          <w:bCs/>
          <w:b/>
        </w:rPr>
        <w:t xml:space="preserve">   Для справки:</w:t>
      </w:r>
    </w:p>
    <w:p>
      <w:pPr>
        <w:pStyle w:val="BodyText"/>
      </w:pPr>
      <w:r>
        <w:rPr>
          <w:iCs/>
          <w:i/>
        </w:rPr>
        <w:t xml:space="preserve">   Дисквалификация как новый вид административного наказания была установлена Кодексом РФ об административных правонарушениях (КоАП РФ), вступившим в силу с 1 июля 2002 г. В соответствии со ст. 3.11 КоАП РФ дисквалификация заключается в лишении физического лица права занимать руководящие должности в исполнительном органе управления юридического лица, входить в совет директоров (наблюдательный совет), осуществлять предпринимательскую деятельность по управлению юридическим лицом, а также осуществлять управление юридическим лицом в иных случаях, предусмотренных законодательством РФ.</w:t>
      </w:r>
    </w:p>
    <w:p>
      <w:pPr>
        <w:pStyle w:val="BodyText"/>
      </w:pPr>
      <w:r>
        <w:rPr>
          <w:iCs/>
          <w:i/>
        </w:rPr>
        <w:t xml:space="preserve">   Согласно п. 2 ст. 3.11 КоАП РФ дисквалификация устанавливается судом на срок от шести месяцев до трех лет.</w:t>
      </w:r>
      <w:r>
        <w:t xml:space="preserve">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http://lublino.mos.ru/directions-of-activities/cadastral-chambers/detail/8183637.html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183637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0" Target="http://www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183637.html" TargetMode="External" /><Relationship Type="http://schemas.openxmlformats.org/officeDocument/2006/relationships/hyperlink" Id="rId21" Target="http://www.gosuslugi.ru/" TargetMode="External" /><Relationship Type="http://schemas.openxmlformats.org/officeDocument/2006/relationships/hyperlink" Id="rId20" Target="http://www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2025-04-11T20:36:52Z</dcterms:created>
  <dcterms:modified xsi:type="dcterms:W3CDTF">2025-04-11T20:36:52Z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