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398ee92bcced3b9ec607339a203eb0e8bbd43b9"/>
    <w:p>
      <w:pPr>
        <w:pStyle w:val="Heading3"/>
      </w:pPr>
      <w:r>
        <w:t xml:space="preserve">Кадастровая палата по Москве создает штаб с участием уполномоченных органов</w:t>
      </w:r>
    </w:p>
    <w:p>
      <w:pPr>
        <w:pStyle w:val="FirstParagraph"/>
      </w:pPr>
      <w:r>
        <w:t xml:space="preserve">12.07.2019</w:t>
      </w:r>
    </w:p>
    <w:p>
      <w:pPr>
        <w:pStyle w:val="BodyText"/>
      </w:pPr>
      <w:r>
        <w:t xml:space="preserve">   Наполнение Единого государственного реестра недвижимости (ЕГРН) актуальными, достоверными сведениями – ключевое направление деятельности Кадастровой палаты по Москве.</w:t>
      </w:r>
    </w:p>
    <w:p>
      <w:pPr>
        <w:pStyle w:val="BodyText"/>
      </w:pPr>
      <w:r>
        <w:t xml:space="preserve">   Достижение высоких результатов в данной сфере возможно лишь при эффективном взаимодействии органов регистрации прав с региональными и муниципальными органами власти, которое заключается в оперативном обмене информацией об объектах недвижимости.</w:t>
      </w:r>
    </w:p>
    <w:p>
      <w:pPr>
        <w:pStyle w:val="BodyText"/>
      </w:pPr>
      <w:r>
        <w:t xml:space="preserve">   Во избежание нарушений законодательства при планировании развития территорий, а также в целях реализации показателей «Дорожной карты» по внедрению целевой модели «Постановка</w:t>
      </w:r>
      <w:r>
        <w:br/>
      </w:r>
      <w:r>
        <w:t xml:space="preserve">на кадастровый учет земельных участков и объектов недвижимого имущества», 21 июня в Кадастровой палате по Москве</w:t>
      </w:r>
      <w:r>
        <w:br/>
      </w:r>
      <w:r>
        <w:t xml:space="preserve">под председательством директора Елены Спиридоновой состоялось первое заседание рабочей группы по вопросам внесения в ЕГРН сведений о зонах с особыми условиями использования территорий (ЗОУИТ), особо охраняемых природных территориях, территориях объектов культурного наследия, территориальных зонах, расположенных на территории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85252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ск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525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 В состав рабочей группы Кадастровой палаты по Москве вошли представители Министерства культуры Российской Федерации, Федерального агентства водных ресурсов, Федеральной службы по экологическому, технологическому и атомному надзору, Департамента культурного наследия города Москвы, Комитета</w:t>
      </w:r>
      <w:r>
        <w:br/>
      </w:r>
      <w:r>
        <w:t xml:space="preserve">по архитектуре и градостроительству города Москвы, Управления Роспотребнадзора по городу Москве.</w:t>
      </w:r>
    </w:p>
    <w:p>
      <w:pPr>
        <w:pStyle w:val="BodyText"/>
      </w:pPr>
      <w:r>
        <w:t xml:space="preserve">   В ходе мероприятия участники обсудили текущее состояние, перспективы дальнейшего развития межведомственного информационного взаимодействия в целях внесения сведений</w:t>
      </w:r>
      <w:r>
        <w:br/>
      </w:r>
      <w:r>
        <w:t xml:space="preserve">в ЕГРН.</w:t>
      </w:r>
    </w:p>
    <w:p>
      <w:pPr>
        <w:pStyle w:val="BodyText"/>
      </w:pPr>
      <w:r>
        <w:t xml:space="preserve">   Напомним, что одной из основных задач межведомственного информационного взаимодействия, установленного ст. 32 Федерального закона от 13.07.2015 № 218-ФЗ «О государственной регистрации недвижимости», является осуществление органами государственной власти и местного самоуправления мероприятий по внесению в ЕГРН, в том числе, следующих сведений:</w:t>
      </w:r>
    </w:p>
    <w:p>
      <w:pPr>
        <w:pStyle w:val="BodyText"/>
      </w:pPr>
      <w:r>
        <w:t xml:space="preserve">- о зонах с особыми условиями использования территорий (ЗОУИТ);</w:t>
      </w:r>
    </w:p>
    <w:p>
      <w:pPr>
        <w:pStyle w:val="BodyText"/>
      </w:pPr>
      <w:r>
        <w:t xml:space="preserve">- о территориальных зонах;</w:t>
      </w:r>
    </w:p>
    <w:p>
      <w:pPr>
        <w:pStyle w:val="BodyText"/>
      </w:pPr>
      <w:r>
        <w:t xml:space="preserve">- о территориях объектов культурного наследия;</w:t>
      </w:r>
    </w:p>
    <w:p>
      <w:pPr>
        <w:pStyle w:val="BodyText"/>
      </w:pPr>
      <w:r>
        <w:t xml:space="preserve">- об особо охраняемых природных территориях.</w:t>
      </w:r>
    </w:p>
    <w:p>
      <w:pPr>
        <w:pStyle w:val="BodyText"/>
      </w:pPr>
      <w:r>
        <w:drawing>
          <wp:inline>
            <wp:extent cx="5334000" cy="457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lublino.mos.ru/www/ско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 По состоянию на сегодняшний день в рамках межведомственного информационного взаимодействия специалистами Кадастровой палаты по Москве уже внесены сведения о 970 ЗОУИТ, почти 32 тысячах территориальных зон,</w:t>
      </w:r>
      <w:r>
        <w:br/>
      </w:r>
      <w:r>
        <w:t xml:space="preserve">о 1 002 территориях объектов культурного наследия и 103 особо охраняемых природных территориях. Всего на территории столицы в ЕГРН внесено более 65 % сведений о таких территориях и зонах.</w:t>
      </w:r>
    </w:p>
    <w:p>
      <w:pPr>
        <w:pStyle w:val="BodyText"/>
      </w:pPr>
      <w:r>
        <w:drawing>
          <wp:inline>
            <wp:extent cx="5334000" cy="333246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lublino.mos.ru/www/скор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24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 «Наполнение ЕГРН сведениями о зонах с особыми условиями использования территорий, особо охраняемых природных территориях, территориях объектов культурного наследия, территориальных зонах способствует соблюдению установленного законодательством Российской Федерации правового режима объектов недвижимости на территории города Москвы», 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   По результатам рабочей группы, участники отметили важность и эффективность взаимодействия с уполномоченными органами, направленного на внесение сведений в ЕГРН.</w:t>
      </w:r>
    </w:p>
    <w:p>
      <w:pPr>
        <w:pStyle w:val="BodyText"/>
      </w:pPr>
      <w:r>
        <w:rPr>
          <w:bCs/>
          <w:b/>
        </w:rPr>
        <w:t xml:space="preserve">   Для справки</w:t>
      </w:r>
    </w:p>
    <w:p>
      <w:pPr>
        <w:pStyle w:val="BodyText"/>
      </w:pPr>
      <w:r>
        <w:t xml:space="preserve">   До конца 2019 года Кадастровой палатой по Москве планируется внести сведения о более, чем 99 % территориальных зон, 75 % столичных объектов культурного наследия и их территорий, что составит около 85% от общего количества сведений о территориальных зонах и ЗОУИТ.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http://lublino.mos.ru/directions-of-activities/cadastral-chambers/detail/8216464.html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Люблино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lublino.mos.ru" TargetMode="External" /><Relationship Type="http://schemas.openxmlformats.org/officeDocument/2006/relationships/hyperlink" Id="rId29" Target="http://lublino.mos.ru/directions-of-activities/cadastral-chambers/detail/82164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lublino.mos.ru" TargetMode="External" /><Relationship Type="http://schemas.openxmlformats.org/officeDocument/2006/relationships/hyperlink" Id="rId29" Target="http://lublino.mos.ru/directions-of-activities/cadastral-chambers/detail/82164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2025-06-09T16:55:49Z</dcterms:created>
  <dcterms:modified xsi:type="dcterms:W3CDTF">2025-06-09T16:55:49Z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