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1c64cea20f3800dfdb8b17da9d637f6846675"/>
    <w:p>
      <w:pPr>
        <w:pStyle w:val="Heading3"/>
      </w:pPr>
      <w:r>
        <w:t xml:space="preserve">Кадастровая палата по Москве и Москомархитектура: эффективное сотрудничество на благо москвичей</w:t>
      </w:r>
    </w:p>
    <w:p>
      <w:pPr>
        <w:pStyle w:val="FirstParagraph"/>
      </w:pPr>
      <w:r>
        <w:t xml:space="preserve">19.08.2019</w:t>
      </w:r>
    </w:p>
    <w:p>
      <w:pPr>
        <w:pStyle w:val="BodyText"/>
      </w:pPr>
      <w:r>
        <w:t xml:space="preserve">   Современный город – сложный организм, который включает не только здания и сооружения, но и системы транспортной, инженерной и социальной инфраструктуры. Его развитие невозможно без эффективной системы стратегического планирования его территорий, обеспечивающей оптимальное размещение объектов инфраструктуры, в столице реализуемое Комитетом по архитектуре и градостроительству города Москвы(Москомархитектура).</w:t>
      </w:r>
    </w:p>
    <w:p>
      <w:pPr>
        <w:pStyle w:val="BodyText"/>
      </w:pPr>
      <w:r>
        <w:t xml:space="preserve">   В целях повышения эффективности выполнения задач по регулированию градостроительной деятельности города Москвы, столичная Кадастровая палата и Москомархитектура развивают информационное взаимодействие. Такое сотрудничество позволяет решать глобальные задачи, поставленные перед ведомствами.</w:t>
      </w:r>
    </w:p>
    <w:p>
      <w:pPr>
        <w:pStyle w:val="BodyText"/>
      </w:pPr>
      <w:r>
        <w:t xml:space="preserve">   Так, «Дорожной картой» по внедрению целевой модели «Постановка на кадастровый учет земельных участков и объектов недвижимого имущества» предусмотрено, что к концу 2019 года доля внесенных в Единый государственный реестр недвижимости (ЕГРН) сведений о территориальных зонах, установленных правилами землепользования и застройки города Москвы, должна составлять не менее 60%.</w:t>
      </w:r>
    </w:p>
    <w:p>
      <w:pPr>
        <w:pStyle w:val="BodyText"/>
      </w:pPr>
      <w:r>
        <w:t xml:space="preserve">   Благодаря плодотворному сотрудничеству с Москомархитектурой Кадастровой палатой по Москве досрочно достигнуты плановые показатели дорожной карты – на сегодняшний день в ЕГРН внесены сведения о более 99% от общего количества территориальных зон, установленных Правилами землепользования и застройки города Москвы (почти 32 тысячи территориальных зон).</w:t>
      </w:r>
    </w:p>
    <w:p>
      <w:pPr>
        <w:pStyle w:val="BodyText"/>
      </w:pPr>
      <w:r>
        <w:t xml:space="preserve">   Стоит отметить, что реализация данной модели направлена на снижение административных барьеров, обеспечение устойчивости социально-экономического развития страны, а также повышение качества</w:t>
      </w:r>
    </w:p>
    <w:p>
      <w:pPr>
        <w:pStyle w:val="BodyText"/>
      </w:pPr>
      <w:r>
        <w:t xml:space="preserve">   </w:t>
      </w:r>
      <w:r>
        <w:br/>
      </w:r>
    </w:p>
    <w:p>
      <w:pPr>
        <w:pStyle w:val="BodyText"/>
      </w:pPr>
      <w:r>
        <w:t xml:space="preserve">   Результаты взаимодействия получили высокую оценку Правительства Москвы - председатель Москомархитектуры Юлиана Княжевская вручила директору Кадастровой палаты по Москве Елене Спиридоновой благодарственные письма от заместителя Мэра Москвы в Правительстве Москвы по вопросам градостроительной политики и строительства Марата Хуснуллина.</w:t>
      </w:r>
    </w:p>
    <w:p>
      <w:pPr>
        <w:pStyle w:val="BodyText"/>
      </w:pPr>
      <w:r>
        <w:rPr>
          <w:bCs/>
          <w:b/>
        </w:rPr>
        <w:t xml:space="preserve">   Для справки:</w:t>
      </w:r>
    </w:p>
    <w:p>
      <w:pPr>
        <w:pStyle w:val="BodyText"/>
      </w:pPr>
      <w:r>
        <w:t xml:space="preserve">   Комитет по архитектуре и градостроительству города Москвы (Москомархитектура) — орган исполнительной власти Москвы, обеспечивающий реализацию государственного регулирования градостроительной и архитектурной деятельности на территории города. Комитет участвует в формировании градостроительной и архитектурной политики Москвы, организует работы по территориальному планированию и планировке территории города, по предпроектной подготовке и проектированию объектов городских программ в области капитального строительства. Координирует градостроительную деятельность в части осуществления Москвой функций столицы Российской Федерации и в вопросах взаимосвязанного развития Москвы и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http://lublino.mos.ru/directions-of-activities/cadastral-chambers/detail/8291951.html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91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91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2024-12-03T02:16:40Z</dcterms:created>
  <dcterms:modified xsi:type="dcterms:W3CDTF">2024-12-03T02:16:40Z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