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b137e251a1590b6cc56da49d9d86c72f00779"/>
    <w:p>
      <w:pPr>
        <w:pStyle w:val="Heading3"/>
      </w:pPr>
      <w:r>
        <w:t xml:space="preserve">Почти половина границ столиц регионов внесены в ЕГРН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rPr>
          <w:iCs/>
          <w:i/>
        </w:rPr>
        <w:t xml:space="preserve">   Сведения о границах 37 столиц субъектов Российской Федерации содержатся в госреестре недвижимости.</w:t>
      </w:r>
    </w:p>
    <w:p>
      <w:pPr>
        <w:pStyle w:val="BodyText"/>
      </w:pPr>
      <w:r>
        <w:rPr>
          <w:bCs/>
          <w:b/>
        </w:rPr>
        <w:t xml:space="preserve">   На 1 июля 2019 года количество сведений о границах населенных пунктов, внесенных в ЕГРН, составляет 39,4 тыс., что на 12% больше по сравнению с началом текущего года. За первое полугодие 2019 года в ЕГРН внесены сведения о 4,2 тыс. границ населенных пунктов. По состоянию на конец II квартала 2019 года в ЕГРН содержатся сведения о 25,3% границ населенных пунктов. Общее количество населенных пунктов в Российской Федерации – 155,7 тыс.</w:t>
      </w:r>
    </w:p>
    <w:p>
      <w:pPr>
        <w:pStyle w:val="BodyText"/>
      </w:pPr>
      <w:r>
        <w:t xml:space="preserve">   Отметим, что в госреестре недвижимости на конец первого полугодия содержатся сведения о границах 37 административных центров субъектов Российской Федерации. Первой столицей субъекта РФ, границы которой были внесены в ЕГРН, стал город Иркутск в апреле 2010 года. В первом полугодии 2019 года были определены границы города-миллионника Новосибирска и столицы Курганской области.</w:t>
      </w:r>
    </w:p>
    <w:p>
      <w:pPr>
        <w:pStyle w:val="BodyText"/>
      </w:pPr>
      <w:r>
        <w:t xml:space="preserve">   Таким образом, на конец первого полугодия в госреестре содержатся сведения о границах следующих городов: Москва, Майкоп, Улан-Удэ, Горно-Алтайск, Элиста, Якутск, Казань, Ижевск, Абакан, Грозный, Чебоксары, Барнаул, Краснодар, Владивосток, Хабаровск, Благовещенск, Волгоград, Иркутск, Калуга, Киров, Кострома, Курган, Липецк, Магадан, Мурманск, Великий Новгород, Нижний Новгород, Новосибирск, Саратов, Южно-Сахалинск, Тамбов, Тула, Тюмень, Ульяновск, Биробиджан, Ханты-Мансийск, Салехард.</w:t>
      </w:r>
    </w:p>
    <w:p>
      <w:pPr>
        <w:pStyle w:val="BodyText"/>
      </w:pPr>
      <w:r>
        <w:t xml:space="preserve">   Как говорит</w:t>
      </w:r>
      <w:r>
        <w:t xml:space="preserve"> </w:t>
      </w:r>
      <w:r>
        <w:rPr>
          <w:bCs/>
          <w:b/>
        </w:rPr>
        <w:t xml:space="preserve">Марина Семенова, замглавы Федеральной кадастровой палаты</w:t>
      </w:r>
      <w:r>
        <w:t xml:space="preserve">, наличие в госреестре недвижимости границ населенных пунктов положительно влияет на развитие учетно-регистрационной системы, упрощение процедур ведения бизнеса и повышение инвестиционной привлекательности регионов. Границы населенных пунктов отделяют эти земли от земель иного назначения, что позволяет предотвратить мошенничество с земельными участками и использование их не по назначению. Кроме того, наличие границ, определенных в соответствии с законом, дает возможность предоставлять земельные участки для размещения на них объектов капитального строительства, что способствует развитию регионов.</w:t>
      </w:r>
    </w:p>
    <w:p>
      <w:pPr>
        <w:pStyle w:val="BodyText"/>
      </w:pPr>
      <w:r>
        <w:rPr>
          <w:iCs/>
          <w:i/>
        </w:rPr>
        <w:t xml:space="preserve">   «Сведения о границах населенного пункта города Москвы в полном объеме внесены в Единый государственный реестр недвижимости Столичной кадастровой палатой совместно с Департаментом городского имущества города Москвы. Ознакомиться с границами можно с помощью электронного сервиса Росреестра - «Публичная кадастровая карта» (</w:t>
      </w:r>
      <w:hyperlink r:id="rId20">
        <w:r>
          <w:rPr>
            <w:rStyle w:val="Hyperlink"/>
            <w:u w:val="single"/>
            <w:iCs/>
            <w:i/>
          </w:rPr>
          <w:t xml:space="preserve">pkk5.rosreestr.ru</w:t>
        </w:r>
      </w:hyperlink>
      <w:r>
        <w:rPr>
          <w:iCs/>
          <w:i/>
        </w:rPr>
        <w:t xml:space="preserve">) в разделе «Управление картой», подключив слой «Границы»</w:t>
      </w:r>
      <w:r>
        <w:t xml:space="preserve">, - добавил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   К 1 июля 2019 года наибольшее число границ населенных пунктов внесено в ЕГРН на территории Москвы – 100%, Чувашской Республики – 98,7%, Краснодарского края – 94,4%, Белгородской области – 91,6%, Алтайского края – 87,4%, Владимирской области – 84,1%, Тюменской области – 81,5%, Бурятской и Чеченской Республик – 76,3% и 76%.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Актуальные сведения о границах населенных пунктов помогают сократить число земельных споров между правообладателями, и улучшить качество управления территориями и земельными ресурсами регионов, вовлекая земли в оборот</w:t>
      </w:r>
      <w:r>
        <w:t xml:space="preserve">», – отметила</w:t>
      </w:r>
      <w:r>
        <w:t xml:space="preserve"> </w:t>
      </w:r>
      <w:r>
        <w:rPr>
          <w:bCs/>
          <w:b/>
        </w:rPr>
        <w:t xml:space="preserve">замглавы Федеральной кадастровой палаты Росреестра Марина Семенова</w:t>
      </w:r>
      <w:r>
        <w:t xml:space="preserve">.</w:t>
      </w:r>
    </w:p>
    <w:p>
      <w:pPr>
        <w:pStyle w:val="BodyText"/>
      </w:pPr>
      <w:r>
        <w:t xml:space="preserve">   Правительство РФ поручило органам власти в регионах завершить наполнение ЕГРН сведениями о границах населенных пунктов до 2021 года.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Кадастровая палата активно взаимодействует с органами местного самоуправления и в порядке межведомственного взаимодействия вносит в ЕГРН сведения о границах. Наполнение госреестра недвижимости сведениями о границах населенных пунктов напрямую зависит от работы региональных администраций, так как именно они, согласно законодательству, инициируют работу по установлению точных границ и направляют сведения в Кадастровую палату</w:t>
      </w:r>
      <w:r>
        <w:t xml:space="preserve">», – напомнила</w:t>
      </w:r>
      <w:r>
        <w:t xml:space="preserve"> </w:t>
      </w:r>
      <w:r>
        <w:rPr>
          <w:bCs/>
          <w:b/>
        </w:rPr>
        <w:t xml:space="preserve">Марина Семенова.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http://lublino.mos.ru/directions-of-activities/cadastral-chambers/detail/8310132.html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10.77.141.14/&#1086;&#1090;&#1076;&#1077;&#1083;%20&#1082;&#1086;&#1086;&#1088;&#1076;&#1080;&#1085;&#1072;&#1094;&#1080;&#1080;%20&#1080;%20&#1072;&#1085;&#1072;&#1083;&#1080;&#1079;&#1072;%20&#1076;&#1077;&#1103;&#1090;&#1077;&#1083;&#1100;&#1085;&#1086;&#1089;&#1090;&#1080;/&#1057;&#1052;&#1048;/&#1055;&#1088;&#1077;&#1089;&#1089;-&#1088;&#1077;&#1083;&#1080;&#1079;&#1099;/2019/&#1072;&#1074;&#1075;&#1091;&#1089;&#1090;/&#1085;&#1072;%20&#1089;&#1086;&#1075;&#1083;&#1072;&#1089;&#1086;&#1074;&#1072;&#1085;&#1080;&#1080;/&#1054;&#1090;&#1074;&#1077;&#1090;&#1099;%20&#1085;&#1072;%20&#1074;&#1086;&#1087;&#1088;&#1086;&#1089;&#1099;%20&#1050;&#1048;/pkk5.rosreestr.ru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310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10.77.141.14/&#1086;&#1090;&#1076;&#1077;&#1083;%20&#1082;&#1086;&#1086;&#1088;&#1076;&#1080;&#1085;&#1072;&#1094;&#1080;&#1080;%20&#1080;%20&#1072;&#1085;&#1072;&#1083;&#1080;&#1079;&#1072;%20&#1076;&#1077;&#1103;&#1090;&#1077;&#1083;&#1100;&#1085;&#1086;&#1089;&#1090;&#1080;/&#1057;&#1052;&#1048;/&#1055;&#1088;&#1077;&#1089;&#1089;-&#1088;&#1077;&#1083;&#1080;&#1079;&#1099;/2019/&#1072;&#1074;&#1075;&#1091;&#1089;&#1090;/&#1085;&#1072;%20&#1089;&#1086;&#1075;&#1083;&#1072;&#1089;&#1086;&#1074;&#1072;&#1085;&#1080;&#1080;/&#1054;&#1090;&#1074;&#1077;&#1090;&#1099;%20&#1085;&#1072;%20&#1074;&#1086;&#1087;&#1088;&#1086;&#1089;&#1099;%20&#1050;&#1048;/pkk5.rosreestr.ru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310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2025-04-10T07:46:22Z</dcterms:created>
  <dcterms:modified xsi:type="dcterms:W3CDTF">2025-04-10T07:46:22Z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