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971749f967ad902232d4eb63e827a0427b416c5"/>
    <w:p>
      <w:pPr>
        <w:pStyle w:val="Heading3"/>
      </w:pPr>
      <w:r>
        <w:t xml:space="preserve">Кадастровая палата рассказала о практике применения нового закона о садоводстве и огородничестве</w:t>
      </w:r>
    </w:p>
    <w:p>
      <w:pPr>
        <w:pStyle w:val="FirstParagraph"/>
      </w:pPr>
      <w:r>
        <w:t xml:space="preserve">03.06.2020</w:t>
      </w:r>
    </w:p>
    <w:p>
      <w:pPr>
        <w:pStyle w:val="BodyText"/>
      </w:pPr>
      <w:r>
        <w:rPr>
          <w:bCs/>
          <w:b/>
        </w:rPr>
        <w:t xml:space="preserve">Почти полтора года назад вступил в силу 217-ФЗ «О ведении гражданами садоводства и огородничества для собственных нужд и о внесении изменений</w:t>
      </w:r>
    </w:p>
    <w:p>
      <w:pPr>
        <w:pStyle w:val="BodyText"/>
      </w:pPr>
      <w:r>
        <w:rPr>
          <w:bCs/>
          <w:b/>
        </w:rPr>
        <w:t xml:space="preserve">в отдельные законодательные акты Российской Федерации». Эксперты Федеральной кадастровой палаты прокомментировали его основные положения.</w:t>
      </w:r>
    </w:p>
    <w:p>
      <w:pPr>
        <w:pStyle w:val="BodyText"/>
      </w:pPr>
      <w:r>
        <w:t xml:space="preserve">С 1 января 2019 года вступил в силу 217-ФЗ «О ведении гражданами садоводства и огородничества для собственных нужд и о внесении изменений</w:t>
      </w:r>
    </w:p>
    <w:p>
      <w:pPr>
        <w:pStyle w:val="BodyText"/>
      </w:pPr>
      <w:r>
        <w:t xml:space="preserve">в отдельные законодательные акты Российской Федерации». Его основная</w:t>
      </w:r>
    </w:p>
    <w:p>
      <w:pPr>
        <w:pStyle w:val="BodyText"/>
      </w:pPr>
      <w:r>
        <w:t xml:space="preserve">цель – совершенствование регулирования различных ситуаций, сложившихся в сфере «дачной деятельности». По данным Союза садоводов, в России не менее</w:t>
      </w:r>
    </w:p>
    <w:p>
      <w:pPr>
        <w:pStyle w:val="BodyText"/>
      </w:pPr>
      <w:r>
        <w:t xml:space="preserve">60 млн дачников, и далеко не все нюансы организации этого популярного досуга были учтены предыдущими нормативными актами.</w:t>
      </w:r>
    </w:p>
    <w:p>
      <w:pPr>
        <w:pStyle w:val="BodyText"/>
      </w:pPr>
      <w:r>
        <w:rPr>
          <w:bCs/>
          <w:b/>
        </w:rPr>
        <w:t xml:space="preserve">Только СНТ и ОНТ</w:t>
      </w:r>
    </w:p>
    <w:p>
      <w:pPr>
        <w:pStyle w:val="BodyText"/>
      </w:pPr>
      <w:r>
        <w:t xml:space="preserve">С момента вступления 217-ФЗ, граждане могут создавать только садоводческие (СНТ) и огороднические некоммерческие товарищества (ОНТ). Указанные товарищества являются товариществом собственников недвижимости (ТСН).</w:t>
      </w:r>
    </w:p>
    <w:p>
      <w:pPr>
        <w:pStyle w:val="BodyText"/>
      </w:pPr>
      <w:r>
        <w:t xml:space="preserve">Ранее существовавшие дачные объединения автоматически причисляются</w:t>
      </w:r>
    </w:p>
    <w:p>
      <w:pPr>
        <w:pStyle w:val="BodyText"/>
      </w:pPr>
      <w:r>
        <w:t xml:space="preserve">к садоводческим, а из законодательства выведены все «дачные» понятия.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Важно, что не требуется реорганизация ранее созданных для целей ведения садоводства и огородничества некоммерческих объединений</w:t>
      </w:r>
      <w:r>
        <w:t xml:space="preserve">, – отмечает</w:t>
      </w:r>
      <w:r>
        <w:t xml:space="preserve"> </w:t>
      </w:r>
      <w:r>
        <w:rPr>
          <w:bCs/>
          <w:b/>
        </w:rPr>
        <w:t xml:space="preserve">эксперт Федеральной кадастровой палаты Надежда Лещенко</w:t>
      </w:r>
      <w:r>
        <w:t xml:space="preserve">. –</w:t>
      </w:r>
      <w:r>
        <w:t xml:space="preserve"> </w:t>
      </w:r>
      <w:r>
        <w:rPr>
          <w:iCs/>
          <w:i/>
        </w:rPr>
        <w:t xml:space="preserve">Кроме одного случая: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ТСН должны быть преобразованы ранее созданные садоводческие, дачные или огороднические потребительские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кооперативы</w:t>
        </w:r>
      </w:hyperlink>
      <w:r>
        <w:rPr>
          <w:iCs/>
          <w:i/>
        </w:rPr>
        <w:t xml:space="preserve">, если цель их создания соответствует предусмотренным указанным законом целям и задачам</w:t>
      </w:r>
      <w:r>
        <w:t xml:space="preserve">».</w:t>
      </w:r>
    </w:p>
    <w:p>
      <w:pPr>
        <w:pStyle w:val="BodyText"/>
      </w:pPr>
      <w:r>
        <w:rPr>
          <w:iCs/>
          <w:i/>
        </w:rPr>
        <w:t xml:space="preserve">«Федеральный закон 217-ФЗ упразднил большинство типов объединений садоводов. Оставлены только две формы: садоводческие некоммерческие товарищества и огороднические некоммерческие товарищества. Согласно закону, только на землях садовых товариществ может быть разрешено строительство жилых домов, в которых можно прописаться»,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Еще одной важной новацией стало установление на законодательном уровне прав и обязанностей граждан, занимающихся садоводством и огородничеством</w:t>
      </w:r>
    </w:p>
    <w:p>
      <w:pPr>
        <w:pStyle w:val="BodyText"/>
      </w:pPr>
      <w:r>
        <w:t xml:space="preserve">на территории товарищества без вступления в соответствующие некоммерческие товарищества.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Теперь индивидуалы, как их привыкли называть, обязаны вносить плату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за приобретение, создание и содержание имущества общего пользования, текущий</w:t>
      </w:r>
    </w:p>
    <w:p>
      <w:pPr>
        <w:pStyle w:val="BodyText"/>
      </w:pPr>
      <w:r>
        <w:rPr>
          <w:iCs/>
          <w:i/>
        </w:rPr>
        <w:t xml:space="preserve">и капитальный ремонт капитальных объектов, входящих в такое имущество, причем в том же порядке, который устанавливается для членов товарищества. Такие лица вправе также принимать участие в общем собрании товарищества,</w:t>
      </w:r>
    </w:p>
    <w:p>
      <w:pPr>
        <w:pStyle w:val="BodyText"/>
      </w:pPr>
      <w:r>
        <w:rPr>
          <w:iCs/>
          <w:i/>
        </w:rPr>
        <w:t xml:space="preserve">а по отдельным вопросам даже принимать участие в голосовании</w:t>
      </w:r>
      <w:r>
        <w:t xml:space="preserve">», – отмечает</w:t>
      </w:r>
      <w:r>
        <w:t xml:space="preserve"> </w:t>
      </w:r>
      <w:r>
        <w:rPr>
          <w:bCs/>
          <w:b/>
        </w:rPr>
        <w:t xml:space="preserve">Надежда Лещенко</w:t>
      </w:r>
      <w:r>
        <w:t xml:space="preserve">.</w:t>
      </w:r>
    </w:p>
    <w:p>
      <w:pPr>
        <w:pStyle w:val="BodyText"/>
      </w:pPr>
      <w:r>
        <w:t xml:space="preserve">Также 217-ФЗ подробно определены процедурные нюансы, связанные</w:t>
      </w:r>
    </w:p>
    <w:p>
      <w:pPr>
        <w:pStyle w:val="BodyText"/>
      </w:pPr>
      <w:r>
        <w:t xml:space="preserve">с управлением товариществом и контролем за его деятельностью, установлены компетенции общего собрания членов объединения, его председателя и правления, порядок ведения делопроизводства, возможные виды взносов.</w:t>
      </w:r>
    </w:p>
    <w:p>
      <w:pPr>
        <w:pStyle w:val="BodyText"/>
      </w:pPr>
      <w:r>
        <w:rPr>
          <w:bCs/>
          <w:b/>
        </w:rPr>
        <w:t xml:space="preserve">Что где строить</w:t>
      </w:r>
    </w:p>
    <w:p>
      <w:pPr>
        <w:pStyle w:val="BodyText"/>
      </w:pPr>
      <w:r>
        <w:t xml:space="preserve">Согласно 217-ФЗ, на садовом участке можно возвести жилой или садовый дом, хозпостройки, индивидуальный гараж. Однако закон</w:t>
      </w:r>
      <w:r>
        <w:t xml:space="preserve"> </w:t>
      </w:r>
      <w:hyperlink r:id="rId21">
        <w:r>
          <w:rPr>
            <w:rStyle w:val="Hyperlink"/>
          </w:rPr>
          <w:t xml:space="preserve">оговаривает</w:t>
        </w:r>
      </w:hyperlink>
      <w:r>
        <w:t xml:space="preserve">, что возведение объектов капитального строительства (ОКС) на садовом участке возможно, только если участок расположен в границах территории, применительно к которой действует соответствующий градостроительный регламент. При этом его параметры должны соответствовать параметрам объекта индивидуального жилищного строительства, указанным в</w:t>
      </w:r>
      <w:r>
        <w:t xml:space="preserve"> </w:t>
      </w:r>
      <w:hyperlink r:id="rId22">
        <w:r>
          <w:rPr>
            <w:rStyle w:val="Hyperlink"/>
          </w:rPr>
          <w:t xml:space="preserve">пункте 39 статьи 1</w:t>
        </w:r>
      </w:hyperlink>
      <w:r>
        <w:t xml:space="preserve"> </w:t>
      </w:r>
      <w:r>
        <w:t xml:space="preserve">Градостроительного кодекса РФ. На огородном участке, как и прежде, строительство объектов недвижимости запрещено. Но закон предусматривает</w:t>
      </w:r>
      <w:r>
        <w:t xml:space="preserve"> </w:t>
      </w:r>
      <w:hyperlink r:id="rId20">
        <w:r>
          <w:rPr>
            <w:rStyle w:val="Hyperlink"/>
          </w:rPr>
          <w:t xml:space="preserve">сохранение</w:t>
        </w:r>
      </w:hyperlink>
      <w:r>
        <w:t xml:space="preserve"> </w:t>
      </w:r>
      <w:r>
        <w:t xml:space="preserve">права на ранее возведенные хозпостройки</w:t>
      </w:r>
    </w:p>
    <w:p>
      <w:pPr>
        <w:pStyle w:val="BodyText"/>
      </w:pPr>
      <w:r>
        <w:t xml:space="preserve">и сооружения, если это право было зарегистрировано до 1 января 2019 года.</w:t>
      </w:r>
    </w:p>
    <w:p>
      <w:pPr>
        <w:pStyle w:val="BodyText"/>
      </w:pPr>
      <w:r>
        <w:rPr>
          <w:iCs/>
          <w:i/>
        </w:rPr>
        <w:t xml:space="preserve">«На огородных земельных участках можно возводить только хозяйственные постройки, предназначенные для хранения инвентаря и урожая. Регистрация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прав на такие хозяйственные постройки, возведенные на землях огороднических некоммерческих товариществ, не требуется»,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Алексей Некрасов.</w:t>
      </w:r>
    </w:p>
    <w:p>
      <w:pPr>
        <w:pStyle w:val="BodyText"/>
      </w:pPr>
      <w:r>
        <w:t xml:space="preserve">Стоит обратить внимание на то, что все дома, расположенные на садовых участках, сведения о которых внесены в Единый государственный реестр недвижимости (ЕГРН) до 2019 года с указанием назначения «жилое» или «жилое строение», признаются жилыми домами. Здания с назначением «нежилые», сезонного или вспомогательного использования, предназначенные для отдыха и временного пребывания людей, не являющиеся хозяйственными постройками и гаражами, признаются садовыми домами.</w:t>
      </w:r>
    </w:p>
    <w:p>
      <w:pPr>
        <w:pStyle w:val="BodyText"/>
      </w:pPr>
      <w:r>
        <w:t xml:space="preserve">217-ФЗ также дал возможность</w:t>
      </w:r>
      <w:r>
        <w:t xml:space="preserve"> </w:t>
      </w:r>
      <w:hyperlink r:id="rId23">
        <w:r>
          <w:rPr>
            <w:rStyle w:val="Hyperlink"/>
          </w:rPr>
          <w:t xml:space="preserve">перевода садового дома в жилой</w:t>
        </w:r>
      </w:hyperlink>
    </w:p>
    <w:p>
      <w:pPr>
        <w:pStyle w:val="BodyText"/>
      </w:pPr>
      <w:hyperlink r:id="rId23"/>
      <w:hyperlink r:id="rId23">
        <w:r>
          <w:rPr>
            <w:rStyle w:val="Hyperlink"/>
          </w:rPr>
          <w:t xml:space="preserve">и жилого – в садовый</w:t>
        </w:r>
      </w:hyperlink>
      <w:r>
        <w:t xml:space="preserve">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Тут необходимо отметить, что если здание принадлежит гражданам, состоящим на учете как нуждающиеся в жилых помещениях, признание его жилым не подразумевает автоматического учета его площади при определении уровня обеспеченности жилыми помещениями</w:t>
      </w:r>
      <w:r>
        <w:t xml:space="preserve">», – говорит</w:t>
      </w:r>
      <w:r>
        <w:t xml:space="preserve"> </w:t>
      </w:r>
      <w:r>
        <w:rPr>
          <w:bCs/>
          <w:b/>
        </w:rPr>
        <w:t xml:space="preserve">Надежда Лещенко</w:t>
      </w:r>
      <w:r>
        <w:t xml:space="preserve">.</w:t>
      </w:r>
    </w:p>
    <w:p>
      <w:pPr>
        <w:pStyle w:val="BodyText"/>
      </w:pPr>
      <w:r>
        <w:t xml:space="preserve">15 апреля 2020 года в силу вступил новый</w:t>
      </w:r>
      <w:r>
        <w:t xml:space="preserve"> </w:t>
      </w:r>
      <w:hyperlink r:id="rId24">
        <w:r>
          <w:rPr>
            <w:rStyle w:val="Hyperlink"/>
          </w:rPr>
          <w:t xml:space="preserve">свод правил</w:t>
        </w:r>
      </w:hyperlink>
      <w:r>
        <w:t xml:space="preserve"> </w:t>
      </w:r>
      <w:r>
        <w:t xml:space="preserve">(СП) планировки</w:t>
      </w:r>
    </w:p>
    <w:p>
      <w:pPr>
        <w:pStyle w:val="BodyText"/>
      </w:pPr>
      <w:r>
        <w:t xml:space="preserve">и застройки территорий садоводческих товариществ. Изменения коснулись параметров ограждения территорий товариществ, были уточнены параметры подъездных дорог. Также новый СП разграничил объекты общего пользования</w:t>
      </w:r>
    </w:p>
    <w:p>
      <w:pPr>
        <w:pStyle w:val="BodyText"/>
      </w:pPr>
      <w:r>
        <w:t xml:space="preserve">на обязательные и дополнительные, а также уточнил площадь земель общего назначения – теперь она должна составлять от 20% до 25% территории товарищества. Появились и рекомендации по обеспечению условий для инвалидов и иных маломобильных групп населения, эвакуационных путей и выходов как из личных домов, так и из зданий общего пользования.</w:t>
      </w:r>
    </w:p>
    <w:p>
      <w:pPr>
        <w:pStyle w:val="BodyText"/>
      </w:pPr>
      <w:r>
        <w:t xml:space="preserve">Изменились и рекомендации, касающиеся минимальной площади личного садового участка: теперь она составляет не менее 0,04 га.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Разумеется, это не значит, что уже существующие товарищества должны пройти через масштабный передел земельных участков. Новый свод правил касается вновь создаваемых объединений</w:t>
      </w:r>
      <w:r>
        <w:t xml:space="preserve">», – уточняет</w:t>
      </w:r>
      <w:r>
        <w:t xml:space="preserve"> </w:t>
      </w:r>
      <w:r>
        <w:rPr>
          <w:bCs/>
          <w:b/>
        </w:rPr>
        <w:t xml:space="preserve">эксперт Федеральной кадастровой палаты</w:t>
      </w:r>
      <w:r>
        <w:t xml:space="preserve">.</w:t>
      </w:r>
    </w:p>
    <w:p>
      <w:pPr>
        <w:pStyle w:val="BodyText"/>
      </w:pPr>
      <w:r>
        <w:t xml:space="preserve">Согласно новому своду, под строения рекомендуется отводить до 30% площади личного садового участка, а с учетом дорожек, площадок и других пространств</w:t>
      </w:r>
    </w:p>
    <w:p>
      <w:pPr>
        <w:pStyle w:val="BodyText"/>
      </w:pPr>
      <w:r>
        <w:t xml:space="preserve">с твердым покрытием – не более 50%.</w:t>
      </w:r>
    </w:p>
    <w:p>
      <w:pPr>
        <w:pStyle w:val="BodyText"/>
      </w:pPr>
      <w:r>
        <w:t xml:space="preserve">Рекомендованные параметры ограждений между участками, отступов от границ при посадке деревьев и проектировании септиков и компостов, размещения приборов учета электроэнергии также были уточнены.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Важно понимать, что хотя правила и носят рекомендательный характер, они разрабатываются в первую очередь для обеспечения безопасности граждан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во время их пребывания на территории товариществ</w:t>
      </w:r>
      <w:r>
        <w:t xml:space="preserve">», – говорит</w:t>
      </w:r>
      <w:r>
        <w:t xml:space="preserve"> </w:t>
      </w:r>
      <w:r>
        <w:rPr>
          <w:bCs/>
          <w:b/>
        </w:rPr>
        <w:t xml:space="preserve">Надежда Лещенко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ТСН или населенный пункт</w:t>
      </w:r>
    </w:p>
    <w:p>
      <w:pPr>
        <w:pStyle w:val="BodyText"/>
      </w:pPr>
      <w:r>
        <w:t xml:space="preserve">Иногда у граждан возникает вопрос, возможно ли признать СНТ или ОНТ населенным пунктом. Согласно нормам 217-ФЗ, установление границ таких товариществ не является самостоятельным основанием для придания им статуса населенного пункта.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Впрочем, возможно включение подобного товарищества в границы уже существующих поблизости населенных пунктов</w:t>
      </w:r>
      <w:r>
        <w:t xml:space="preserve">, – рассказывает</w:t>
      </w:r>
      <w:r>
        <w:t xml:space="preserve"> </w:t>
      </w:r>
      <w:r>
        <w:rPr>
          <w:bCs/>
          <w:b/>
        </w:rPr>
        <w:t xml:space="preserve">эксперт Федеральной кадастровой палаты</w:t>
      </w:r>
      <w:r>
        <w:t xml:space="preserve">. –</w:t>
      </w:r>
      <w:r>
        <w:t xml:space="preserve"> </w:t>
      </w:r>
      <w:r>
        <w:rPr>
          <w:iCs/>
          <w:i/>
        </w:rPr>
        <w:t xml:space="preserve">Но для этого необходимо утверждение нового (или изменений действующего) генерального плана городского поселения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или округа, схемы планирования муниципалитета, где товарищество расположено</w:t>
      </w:r>
      <w:r>
        <w:t xml:space="preserve">».</w:t>
      </w:r>
    </w:p>
    <w:p>
      <w:pPr>
        <w:pStyle w:val="BodyText"/>
      </w:pPr>
      <w:r>
        <w:t xml:space="preserve">Желание стать частью населенного пункта, как правило, связано с трудностями обеспечения территорий товариществ необходимой инфраструктурой. Ряд положений 217-ФЗ определяют формы и порядок поддержки ведения гражданами садоводства и огородничества для личных нужд на государственном</w:t>
      </w:r>
    </w:p>
    <w:p>
      <w:pPr>
        <w:pStyle w:val="BodyText"/>
      </w:pPr>
      <w:r>
        <w:t xml:space="preserve">и муниципальном уровне. Такая поддержка, тем не менее, является правом,</w:t>
      </w:r>
    </w:p>
    <w:p>
      <w:pPr>
        <w:pStyle w:val="BodyText"/>
      </w:pPr>
      <w:r>
        <w:t xml:space="preserve">а не обязанностью органов государственной власти и местного самоуправления.</w:t>
      </w:r>
    </w:p>
    <w:p>
      <w:pPr>
        <w:pStyle w:val="BodyText"/>
      </w:pPr>
      <w:r>
        <w:rPr>
          <w:bCs/>
          <w:b/>
        </w:rPr>
        <w:t xml:space="preserve">И напоследок: о добыче подземных вод</w:t>
      </w:r>
    </w:p>
    <w:p>
      <w:pPr>
        <w:pStyle w:val="BodyText"/>
      </w:pPr>
      <w:r>
        <w:t xml:space="preserve">Еще один важный пункт 217-ФЗ касается добычи товариществами подземных вод для организации хозяйственно-бытового водоснабжения. До 2020 лицензия</w:t>
      </w:r>
    </w:p>
    <w:p>
      <w:pPr>
        <w:pStyle w:val="BodyText"/>
      </w:pPr>
      <w:r>
        <w:t xml:space="preserve">на это не требовалась, однако теперь ее получение стало обязательным.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Соответствующие поправки внесены</w:t>
      </w:r>
      <w:r>
        <w:t xml:space="preserve"> </w:t>
      </w:r>
      <w:hyperlink r:id="rId25">
        <w:r>
          <w:rPr>
            <w:rStyle w:val="Hyperlink"/>
            <w:iCs/>
            <w:i/>
          </w:rPr>
          <w:t xml:space="preserve">в закон «О недрах»</w:t>
        </w:r>
      </w:hyperlink>
      <w:r>
        <w:t xml:space="preserve">, – напоминает</w:t>
      </w:r>
      <w:r>
        <w:t xml:space="preserve"> </w:t>
      </w:r>
      <w:r>
        <w:rPr>
          <w:bCs/>
          <w:b/>
        </w:rPr>
        <w:t xml:space="preserve">Надежда Лещенко</w:t>
      </w:r>
      <w:r>
        <w:t xml:space="preserve">. –</w:t>
      </w:r>
      <w:r>
        <w:t xml:space="preserve"> </w:t>
      </w:r>
      <w:r>
        <w:rPr>
          <w:iCs/>
          <w:i/>
        </w:rPr>
        <w:t xml:space="preserve">Обычным гражданам – то есть физическим лицам – такая лицензия не нужна, если их колодец глубиной не более пяти метров, используется только для собственных нужд, если вода в него поступает не из горизонта-источника централизованного водоснабжения и объем извлекаемой воды – не более ста кубометров в сутки</w:t>
      </w:r>
      <w:r>
        <w:t xml:space="preserve">».</w:t>
      </w:r>
    </w:p>
    <w:p>
      <w:pPr>
        <w:pStyle w:val="BodyText"/>
      </w:pPr>
      <w:r>
        <w:t xml:space="preserve">Штрафы за пользование недрами без лицензии</w:t>
      </w:r>
      <w:r>
        <w:t xml:space="preserve"> </w:t>
      </w:r>
      <w:hyperlink r:id="rId26">
        <w:r>
          <w:rPr>
            <w:rStyle w:val="Hyperlink"/>
          </w:rPr>
          <w:t xml:space="preserve">установлены Кодексом</w:t>
        </w:r>
      </w:hyperlink>
    </w:p>
    <w:p>
      <w:pPr>
        <w:pStyle w:val="BodyText"/>
      </w:pPr>
      <w:hyperlink r:id="rId26"/>
      <w:hyperlink r:id="rId26">
        <w:r>
          <w:rPr>
            <w:rStyle w:val="Hyperlink"/>
          </w:rPr>
          <w:t xml:space="preserve">об административных правонарушениях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Кадастровая палата по Москве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http://lublino.mos.ru/directions-of-activities/cadastral-chambers/detail/8941832.html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Люблино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ase.garant.ru/12125267/35d2444eaabb431d4fc58eeb6ffc6119/" TargetMode="External" /><Relationship Type="http://schemas.openxmlformats.org/officeDocument/2006/relationships/hyperlink" Id="rId28" Target="http://lublino.mos.ru" TargetMode="External" /><Relationship Type="http://schemas.openxmlformats.org/officeDocument/2006/relationships/hyperlink" Id="rId27" Target="http://lublino.mos.ru/directions-of-activities/cadastral-chambers/detail/8941832.html" TargetMode="External" /><Relationship Type="http://schemas.openxmlformats.org/officeDocument/2006/relationships/hyperlink" Id="rId21" Target="http://www.consultant.ru/document/cons_doc_LAW_221173/743ad43ae34a1cb083332a8d7aa0131ca2888a4e/" TargetMode="External" /><Relationship Type="http://schemas.openxmlformats.org/officeDocument/2006/relationships/hyperlink" Id="rId20" Target="http://www.consultant.ru/document/cons_doc_LAW_221173/abfd730448b01c0bc65f4f7a848200fd080a7f8b/" TargetMode="External" /><Relationship Type="http://schemas.openxmlformats.org/officeDocument/2006/relationships/hyperlink" Id="rId22" Target="http://www.consultant.ru/document/cons_doc_LAW_342030/cdec16ec747f11f3a7a39c7303d03373e0ef91c4/#dst2435" TargetMode="External" /><Relationship Type="http://schemas.openxmlformats.org/officeDocument/2006/relationships/hyperlink" Id="rId25" Target="http://www.consultant.ru/document/cons_doc_LAW_343/fc4edc98d4d4ac2c3c1c6f423e6f98d9bfdf7386/" TargetMode="External" /><Relationship Type="http://schemas.openxmlformats.org/officeDocument/2006/relationships/hyperlink" Id="rId23" Target="https://kadastr.ru/magazine/articles/perevod-sadovogo-doma-v-zhiloy-podrobnyy-instruktazh/" TargetMode="External" /><Relationship Type="http://schemas.openxmlformats.org/officeDocument/2006/relationships/hyperlink" Id="rId24" Target="https://www.minstroyrf.ru/upload/iblock/bd3/SP-53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ase.garant.ru/12125267/35d2444eaabb431d4fc58eeb6ffc6119/" TargetMode="External" /><Relationship Type="http://schemas.openxmlformats.org/officeDocument/2006/relationships/hyperlink" Id="rId28" Target="http://lublino.mos.ru" TargetMode="External" /><Relationship Type="http://schemas.openxmlformats.org/officeDocument/2006/relationships/hyperlink" Id="rId27" Target="http://lublino.mos.ru/directions-of-activities/cadastral-chambers/detail/8941832.html" TargetMode="External" /><Relationship Type="http://schemas.openxmlformats.org/officeDocument/2006/relationships/hyperlink" Id="rId21" Target="http://www.consultant.ru/document/cons_doc_LAW_221173/743ad43ae34a1cb083332a8d7aa0131ca2888a4e/" TargetMode="External" /><Relationship Type="http://schemas.openxmlformats.org/officeDocument/2006/relationships/hyperlink" Id="rId20" Target="http://www.consultant.ru/document/cons_doc_LAW_221173/abfd730448b01c0bc65f4f7a848200fd080a7f8b/" TargetMode="External" /><Relationship Type="http://schemas.openxmlformats.org/officeDocument/2006/relationships/hyperlink" Id="rId22" Target="http://www.consultant.ru/document/cons_doc_LAW_342030/cdec16ec747f11f3a7a39c7303d03373e0ef91c4/#dst2435" TargetMode="External" /><Relationship Type="http://schemas.openxmlformats.org/officeDocument/2006/relationships/hyperlink" Id="rId25" Target="http://www.consultant.ru/document/cons_doc_LAW_343/fc4edc98d4d4ac2c3c1c6f423e6f98d9bfdf7386/" TargetMode="External" /><Relationship Type="http://schemas.openxmlformats.org/officeDocument/2006/relationships/hyperlink" Id="rId23" Target="https://kadastr.ru/magazine/articles/perevod-sadovogo-doma-v-zhiloy-podrobnyy-instruktazh/" TargetMode="External" /><Relationship Type="http://schemas.openxmlformats.org/officeDocument/2006/relationships/hyperlink" Id="rId24" Target="https://www.minstroyrf.ru/upload/iblock/bd3/SP-53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2025-07-27T17:39:28Z</dcterms:created>
  <dcterms:modified xsi:type="dcterms:W3CDTF">2025-07-27T17:39:28Z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