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4" w:name="X096665467e8f66a0295b390303186349d973106"/>
    <w:p>
      <w:pPr>
        <w:pStyle w:val="Heading3"/>
      </w:pPr>
      <w:r>
        <w:t xml:space="preserve">Почти 4 миллиона сведений о недвижимости подготовила Кадастровая палата по Москве за 9 месяцев 2020 года</w:t>
      </w:r>
    </w:p>
    <w:p>
      <w:pPr>
        <w:pStyle w:val="FirstParagraph"/>
      </w:pPr>
      <w:r>
        <w:t xml:space="preserve">05.11.2020</w:t>
      </w:r>
    </w:p>
    <w:p>
      <w:pPr>
        <w:pStyle w:val="BodyText"/>
      </w:pPr>
      <w:r>
        <w:rPr>
          <w:iCs/>
          <w:i/>
        </w:rPr>
        <w:t xml:space="preserve">Эксперты учреждения рассказали о результатах работы по предоставлению сведений из реестра недвижимости.</w:t>
      </w:r>
    </w:p>
    <w:p>
      <w:pPr>
        <w:pStyle w:val="BodyText"/>
      </w:pPr>
      <w:r>
        <w:rPr>
          <w:bCs/>
          <w:b/>
        </w:rPr>
        <w:t xml:space="preserve">Кадастровая палата по Москве подвела итоги предоставления сведений</w:t>
      </w:r>
      <w:r>
        <w:br/>
      </w:r>
      <w:r>
        <w:rPr>
          <w:bCs/>
          <w:b/>
        </w:rPr>
        <w:t xml:space="preserve">из Единого государственного реестра недвижимости (ЕГРН) за 9 месяцев 2020 года. Всего за этот период учреждение сформировало порядка 4 млн выписок. За аналогичный период прошлого года было выдано немногим более 4,1 млн документов. Несмотря на ограничения, введенные в 2020 году в связи</w:t>
      </w:r>
      <w:r>
        <w:br/>
      </w:r>
      <w:r>
        <w:rPr>
          <w:bCs/>
          <w:b/>
        </w:rPr>
        <w:t xml:space="preserve">с неблагоприятной эпидемиологической обстановкой, спрос на получение сведений о недвижимости сохраняется на уровне прошлого года.</w:t>
      </w:r>
    </w:p>
    <w:p>
      <w:pPr>
        <w:pStyle w:val="BodyText"/>
      </w:pPr>
      <w:r>
        <w:t xml:space="preserve">Самым популярным документом остается выписка об основных характеристиках и зарегистрированных правах на объект недвижимости: за 9 месяцев подготовлено более 1,2 млн. таких выписок. Также сохраняется стабильный интерес</w:t>
      </w:r>
      <w:r>
        <w:br/>
      </w:r>
      <w:r>
        <w:t xml:space="preserve">в получении сведений об объекте недвижимости: за указанный период сформировано более 731 тысячи таких выписок. Кроме того, за 9 месяцев 2019 года Кадастровая палата по Москве предоставила около 730 тысяч выписок о правах отдельного лица, более 518 тысяч выписок о переходе права собственности на объекты недвижимости и почти 140 тысяч выписок о кадастровой стоимости.</w:t>
      </w:r>
    </w:p>
    <w:p>
      <w:pPr>
        <w:pStyle w:val="BodyText"/>
      </w:pPr>
      <w:r>
        <w:t xml:space="preserve">При этом, с начала 2020 года из всего объема сведений более 3,6 млн выписок из ЕГРН было предоставлено заявителям в электронном виде. Таким образом,</w:t>
      </w:r>
      <w:r>
        <w:br/>
      </w:r>
      <w:r>
        <w:t xml:space="preserve">в столице электронный формат предоставления сведений наиболее востребован заинтересованными лицами – как физическими, так и юридическими.</w:t>
      </w:r>
    </w:p>
    <w:p>
      <w:pPr>
        <w:pStyle w:val="BodyText"/>
      </w:pPr>
      <w:r>
        <w:rPr>
          <w:iCs/>
          <w:i/>
        </w:rPr>
        <w:t xml:space="preserve">«Предоставление сведений из ЕГРН в электронном виде – наиболее популярный способ получения информации. В настоящее более 90% сведений из реестра недвижимости по столичному региону выдается в электронной форме»</w:t>
      </w:r>
      <w:r>
        <w:t xml:space="preserve">, – отметила</w:t>
      </w:r>
      <w:r>
        <w:t xml:space="preserve"> </w:t>
      </w:r>
      <w:r>
        <w:rPr>
          <w:bCs/>
          <w:b/>
        </w:rPr>
        <w:t xml:space="preserve">заместитель директора Кадастровой палаты по Москве Александра Кондратьева.</w:t>
      </w:r>
    </w:p>
    <w:p>
      <w:pPr>
        <w:pStyle w:val="BodyText"/>
      </w:pPr>
      <w:r>
        <w:t xml:space="preserve">Напоминаем, что заказать сведения из ЕГРН можно в электронном виде</w:t>
      </w:r>
      <w:r>
        <w:br/>
      </w:r>
      <w:r>
        <w:t xml:space="preserve">или обратившись в ближайший офис МФЦ с соответствующим заявлением. Однако сегодня, в силу особой эпидемиологической обстановки, наиболее оптимальным является электронный способ получения сведений из реестра недвижимости посредством</w:t>
      </w:r>
      <w:r>
        <w:t xml:space="preserve"> </w:t>
      </w:r>
      <w:hyperlink r:id="rId20">
        <w:r>
          <w:rPr>
            <w:rStyle w:val="Hyperlink"/>
          </w:rPr>
          <w:t xml:space="preserve">официального сайта Росреестра</w:t>
        </w:r>
      </w:hyperlink>
      <w:r>
        <w:t xml:space="preserve"> </w:t>
      </w:r>
      <w:r>
        <w:t xml:space="preserve">или</w:t>
      </w:r>
      <w:r>
        <w:t xml:space="preserve"> </w:t>
      </w:r>
      <w:hyperlink r:id="rId21">
        <w:r>
          <w:rPr>
            <w:rStyle w:val="Hyperlink"/>
          </w:rPr>
          <w:t xml:space="preserve">онлайн-сервиса Федеральной кадастровой палаты</w:t>
        </w:r>
      </w:hyperlink>
      <w:r>
        <w:t xml:space="preserve">. Добавим, что через онлайн-сервис Федеральной кадастровой палаты сведения из реестра недвижимости можно получить в течение 8 минут.</w:t>
      </w:r>
    </w:p>
    <w:p>
      <w:pPr>
        <w:pStyle w:val="BodyText"/>
      </w:pPr>
      <w:r>
        <w:t xml:space="preserve">Обращаем внимание, что выписка из ЕГРН, полученная в электронном виде, имеет такую же юридическую силу, как и бумажный документ, и заверяется электронной подписью органа регистрации прав.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2">
        <w:r>
          <w:rPr>
            <w:rStyle w:val="Hyperlink"/>
          </w:rPr>
          <w:t xml:space="preserve">http://lublino.mos.ru/directions-of-activities/cadastral-chambers/detail/9395201.html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Управа района Люблино города Москвы</w:t>
        </w:r>
      </w:hyperlink>
    </w:p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3" Target="http://lublino.mos.ru" TargetMode="External" /><Relationship Type="http://schemas.openxmlformats.org/officeDocument/2006/relationships/hyperlink" Id="rId22" Target="http://lublino.mos.ru/directions-of-activities/cadastral-chambers/detail/9395201.html" TargetMode="External" /><Relationship Type="http://schemas.openxmlformats.org/officeDocument/2006/relationships/hyperlink" Id="rId20" Target="https://rosreestr.gov.ru/site/" TargetMode="External" /><Relationship Type="http://schemas.openxmlformats.org/officeDocument/2006/relationships/hyperlink" Id="rId21" Target="https://spv.kadastr.ru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http://lublino.mos.ru" TargetMode="External" /><Relationship Type="http://schemas.openxmlformats.org/officeDocument/2006/relationships/hyperlink" Id="rId22" Target="http://lublino.mos.ru/directions-of-activities/cadastral-chambers/detail/9395201.html" TargetMode="External" /><Relationship Type="http://schemas.openxmlformats.org/officeDocument/2006/relationships/hyperlink" Id="rId20" Target="https://rosreestr.gov.ru/site/" TargetMode="External" /><Relationship Type="http://schemas.openxmlformats.org/officeDocument/2006/relationships/hyperlink" Id="rId21" Target="https://spv.kadastr.ru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2025-04-08T07:17:37Z</dcterms:created>
  <dcterms:modified xsi:type="dcterms:W3CDTF">2025-04-08T07:17:37Z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