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f02f0a6d7e6c7645bf82fe9a93347c65955a0"/>
    <w:p>
      <w:pPr>
        <w:pStyle w:val="Heading3"/>
      </w:pPr>
      <w:r>
        <w:t xml:space="preserve">Единый государственный реестр недвижимости пополнился за третий квартал сведениями о 6 тысячах объектах культурного наследия</w:t>
      </w:r>
    </w:p>
    <w:p>
      <w:pPr>
        <w:pStyle w:val="FirstParagraph"/>
      </w:pPr>
      <w:r>
        <w:t xml:space="preserve">09.12.2020</w:t>
      </w:r>
    </w:p>
    <w:p>
      <w:pPr>
        <w:pStyle w:val="BodyText"/>
      </w:pPr>
      <w:r>
        <w:rPr>
          <w:bCs/>
          <w:b/>
        </w:rPr>
        <w:t xml:space="preserve">За третий квартал 2020 года Федеральная кадастровая палата Росреестра внесла более 6 тысяч сведений об объектах культурного наследия. Эксперты рассказали, почему важно пополнять реестр недвижимости объектами капитального строительства (ОКС), которые имеют статус объектов культурного наследия, а также какие обязанности будут накладываться на покупателя подобного объекта недвижимости.</w:t>
      </w:r>
    </w:p>
    <w:p>
      <w:pPr>
        <w:pStyle w:val="BodyText"/>
      </w:pPr>
      <w:r>
        <w:t xml:space="preserve">В третьем квартале 2020 года специалисты Федеральной кадастровой палаты внесли в Единый государственный реестр недвижимости (ЕГРН) сведения о 6361 объекте культурного наследия. Среди них есть объекты федерального значения. Это, например, Спасо-Преображенский собор 1673 года постройки, входящий в состав Ансамбля Спасо-Кукоцкого монастыря Ивановской области; дом, в котором жил Василий Иванович Чапаев в 1918 году; церковь Серафима Саровского конца XIX века в Саратовской области и многие другие.</w:t>
      </w:r>
    </w:p>
    <w:p>
      <w:pPr>
        <w:pStyle w:val="BodyText"/>
      </w:pPr>
      <w:r>
        <w:t xml:space="preserve">Объекты культурного наследия – это уникальная ценность для всего многонационального народа нашей страны. Одной из приоритетных задач государства является государственная охрана таких объектов недвижимости, их учет и сохранность.</w:t>
      </w:r>
    </w:p>
    <w:p>
      <w:pPr>
        <w:pStyle w:val="BodyText"/>
      </w:pPr>
      <w:r>
        <w:rPr>
          <w:iCs/>
          <w:i/>
        </w:rPr>
        <w:t xml:space="preserve">«Стоит отметить, что не всегда объекты культурного наследия используются в прямом назначении, в качестве музея или церкви. Нередко подобные здания служат помещением для размещения учебных площадок. Например, здание МГУ – одна из семи сталинских высоток, которая является объектом культурного наследия. Также они могут использоваться в качестве жилого дома или офисного помещения. Эксплуатируя помещение подобной категории, правообладатель должен соблюдать требования, установленные в специальном документе – охранном обязательстве. Одним из важнейших его требований является проведение мероприятий по сохранению используемого объекта, немаловажную роль в котором играет наличие в Едином государственном реестре недвижимости полных и достоверных сведений о нём»,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Своевременное внесение такого рода информации помогает предотвратить ошибки при планировании развития государственных территорий, разработке планов застройки. Отсутствие информации об объектах культурного наследия в ЕГРН может привести к градостроительным ошибкам при предоставлении земельных участков органами местного самоуправления.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Москве продолжается плановая масштабная работа по внесению данных обо всех объектах культурного наследия столицы в Единый государственный реестр недвижимости. Это необходимо для упрощения процесса планирования развития территорий. Кроме того, наличие таких сведений в реестре недвижимости играет важную роль для обеспечения предпринимательской и инвестиционной деятельности. Благодаря этому люди, чья деятельность связана с территориями, где находятся памятники, могут оперативно получать информацию об охранных статусах</w:t>
      </w:r>
      <w:r>
        <w:t xml:space="preserve">», - прокомментировал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Несоблюдение правил использования объекта культурного наследия, которые предусмотрены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http://lublino.mos.ru/directions-of-activities/cadastral-chambers/detail/9514497.html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514497.html" TargetMode="External" /><Relationship Type="http://schemas.openxmlformats.org/officeDocument/2006/relationships/hyperlink" Id="rId20" Target="http://www.consultant.ru/document/cons_doc_LAW_373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514497.html" TargetMode="External" /><Relationship Type="http://schemas.openxmlformats.org/officeDocument/2006/relationships/hyperlink" Id="rId20" Target="http://www.consultant.ru/document/cons_doc_LAW_373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2024-10-08T15:49:37Z</dcterms:created>
  <dcterms:modified xsi:type="dcterms:W3CDTF">2024-10-08T15:49:37Z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