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9c716843886254ac1339ae6ddf10b1af14577"/>
    <w:p>
      <w:pPr>
        <w:pStyle w:val="Heading3"/>
      </w:pPr>
      <w:r>
        <w:t xml:space="preserve">Образовательный центр в Гольяново поставлен на кадастровый учет</w:t>
      </w:r>
    </w:p>
    <w:p>
      <w:pPr>
        <w:pStyle w:val="FirstParagraph"/>
      </w:pPr>
      <w:r>
        <w:t xml:space="preserve">04.03.2021</w:t>
      </w:r>
    </w:p>
    <w:p>
      <w:pPr>
        <w:pStyle w:val="BodyText"/>
      </w:pPr>
      <w:r>
        <w:rPr>
          <w:iCs/>
          <w:i/>
        </w:rPr>
        <w:t xml:space="preserve">Сведения в отношении комплекса со школой и детским садом внесены в ЕГРН в максимально сжатые сроки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 на кадастровый учет образовательный центр в районе Гольяново.</w:t>
      </w:r>
    </w:p>
    <w:p>
      <w:pPr>
        <w:pStyle w:val="BodyText"/>
      </w:pPr>
      <w:r>
        <w:t xml:space="preserve">Новое здание площадью более 5,5 тысяч квадратных метров входит в состав жилого комплекса «Level Амурская» и располагается по адресу: г. Москва, ул. Амурская, д. 1А, стр. 11. В образовательном центре разместились детский сад, рассчитанный на 175 воспитанников, и школа на 400 учеников.</w:t>
      </w:r>
    </w:p>
    <w:p>
      <w:pPr>
        <w:pStyle w:val="BodyText"/>
      </w:pPr>
      <w:r>
        <w:rPr>
          <w:iCs/>
          <w:i/>
        </w:rPr>
        <w:t xml:space="preserve">«Правительством Москвы активно реализуется масштабная программа по строительству школ и детских садов, направленная на повышение доступности получения образования. Только с начала года Управлением Росреестра по Москве совместно со столичной Кадастровой палатой проведены учетные действия в отношении шести образовательных учреждений, общая площадь которых составляет свыше 20 тысяч квадратных метров»,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</w:t>
      </w:r>
    </w:p>
    <w:p>
      <w:pPr>
        <w:pStyle w:val="BodyText"/>
      </w:pPr>
      <w:r>
        <w:t xml:space="preserve">Образовательный центр представляет собой трёхэтажное здание, выполненное в едином стиле со строящимся многофункциональным комплексом. В основу образа лег строгий геометричный узор, фасады облицованы бетонной плиткой коричневого цвета. В самом здании созданы все необходимые условия для образовательного процесса.</w:t>
      </w:r>
    </w:p>
    <w:p>
      <w:pPr>
        <w:pStyle w:val="BodyText"/>
      </w:pPr>
      <w:r>
        <w:t xml:space="preserve">Помещения детского сада и школы разделены, общей является только зона кухни. Групповые ячейки и другие помещения дошкольного учреждения занимают часть первого и второго этажа, остальные площади относятся к школе. Вход в здание расположен на одном уровне с землей, что создает дополнительные удобства для маломобильных граждан.</w:t>
      </w:r>
    </w:p>
    <w:p>
      <w:pPr>
        <w:pStyle w:val="BodyText"/>
      </w:pPr>
      <w:r>
        <w:t xml:space="preserve">Участок образовательно центра благоустроен и составляет единое пространство с территорией строящегося комплекса. На нем расположены детские игровые площадки, созданы пешеходные зоны.</w:t>
      </w:r>
    </w:p>
    <w:p>
      <w:pPr>
        <w:pStyle w:val="BodyText"/>
      </w:pPr>
      <w:r>
        <w:rPr>
          <w:iCs/>
          <w:i/>
        </w:rPr>
        <w:t xml:space="preserve">«Благодаря слаженной совместной работе Правительства Москвы и органов регистрации прав уже совсем скоро новый современный образовательный центр откроет свои двери для 500 юных москвичей»,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http://lublino.mos.ru/directions-of-activities/cadastral-chambers/detail/9760507.html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760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760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2025-04-08T06:12:55Z</dcterms:created>
  <dcterms:modified xsi:type="dcterms:W3CDTF">2025-04-08T06:12:55Z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