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2f776112701fc330f7848007de06116e5fd25"/>
    <w:p>
      <w:pPr>
        <w:pStyle w:val="Heading3"/>
      </w:pPr>
      <w:r>
        <w:t xml:space="preserve">Гасан Гасангаджиев: 107 км газопроводов реконструирует и построит МОСГАЗ в 2021 году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t xml:space="preserve">В составе Комплекса городского хозяйства с 2010 г. АО «МОСГАЗ» реализует крупнейшую программу модернизации, повышения надёжности и эффективности газового хозяйства столицы. В 2021 году компания планирует модернизировать более 50 км газотранспортной сети города, из которых около 3,55 км по программе «Развитие городской среды».</w:t>
      </w:r>
    </w:p>
    <w:p>
      <w:pPr>
        <w:pStyle w:val="BodyText"/>
      </w:pPr>
      <w:r>
        <w:rPr>
          <w:iCs/>
          <w:i/>
        </w:rPr>
        <w:t xml:space="preserve">«29 км планируется построить в рамках развития системы газоснабжения на территории ТиНАО. Еще 2,76 км будет построено в рамках масштабной программы реконструкции подводных газопроводов-дюкеров и 27,31 км в рамках технологических присоединений и выносов сетей из пятна застройки»,</w:t>
      </w:r>
      <w:r>
        <w:t xml:space="preserve"> </w:t>
      </w:r>
      <w:r>
        <w:t xml:space="preserve">- рассказал</w:t>
      </w:r>
      <w:r>
        <w:t xml:space="preserve"> </w:t>
      </w:r>
      <w:r>
        <w:rPr>
          <w:bCs/>
          <w:b/>
        </w:rPr>
        <w:t xml:space="preserve">Генеральный директор АО «МОСГАЗ» Гасан Гасангаджиев.</w:t>
      </w:r>
    </w:p>
    <w:p>
      <w:pPr>
        <w:pStyle w:val="BodyText"/>
      </w:pPr>
      <w:r>
        <w:t xml:space="preserve">Модернизации подлежат все газовые коммуникации с длительным сроком эксплуатации, предназначенные к реконструкции по результатам технической диагностики. АО «МОСГАЗ» уже приступило к реконструкции газопроводов, транспортирующих газ к крупным потребителям теплоэнергетики, к объектам коммунально-бытового сектора и многоквартирным жилым домам.</w:t>
      </w:r>
    </w:p>
    <w:p>
      <w:pPr>
        <w:pStyle w:val="BodyText"/>
      </w:pPr>
      <w:r>
        <w:t xml:space="preserve">Приоритетным способом реконструкции в последние годы стал бестраншейный метод, который позволяет избегать разрытий и связанных с ними неудобств для граждан. Уровень износа газовых сетей был снижен с 36,8% до 29,3%.</w:t>
      </w:r>
    </w:p>
    <w:p>
      <w:pPr>
        <w:pStyle w:val="BodyText"/>
      </w:pPr>
      <w:r>
        <w:t xml:space="preserve">При выполнении работ все чаще применяется прогрессивный метод прокладки с использованием полиэтиленовой трубы, не подверженной электрохимической коррозии. Она гарантирует не менее 50 лет эксплуатации, что позволит в ближайшие десятилетия не возвращаться к ремонтным работам в зоне благоустройства.</w:t>
      </w:r>
    </w:p>
    <w:p>
      <w:pPr>
        <w:pStyle w:val="BodyText"/>
      </w:pPr>
      <w:r>
        <w:t xml:space="preserve">Применение передовых технологий строительства обеспечит высокую надежность и безопасность газовых коммуникаций, позволит выполнить работы с максимальным комфортом для жителей, в сжатые сроки, что дает возможность своевременно приступить к комплексному благоустройству городских территорий.</w:t>
      </w:r>
    </w:p>
    <w:p>
      <w:pPr>
        <w:pStyle w:val="BodyText"/>
      </w:pPr>
      <w:r>
        <w:t xml:space="preserve">Отметим, ежегодно Москва потребляет 21-23 млрд куб. м. газа, свыше 5% от общего потребления газа по всей России. Из них около 86% приходится на «большую» энергетику, 11% – на промышленные предприятия, 3% – население и коммунально-бытовые потребители. В столице газифицировано 1,8 млн квартир, в которых установлено 1,8 млн газовых плит и 124,6 тыс. газовых водонагревателей.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http://lublino.mos.ru/directions-of-activities/housing-and-communal-services/ao-mosgaz/detail/9704604.html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housing-and-communal-services/ao-mosgaz/detail/9704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housing-and-communal-services/ao-mosgaz/detail/9704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2025-04-08T08:37:32Z</dcterms:created>
  <dcterms:modified xsi:type="dcterms:W3CDTF">2025-04-08T08:37:32Z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