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7a5c5a49fa04504508d01269dfd9e527339206"/>
    <w:p>
      <w:pPr>
        <w:pStyle w:val="Heading3"/>
      </w:pPr>
      <w:r>
        <w:t xml:space="preserve">Расширено применение такого наказания, как лишение специального, воинского или почетного звания, классного чина и государственных наград</w:t>
      </w:r>
    </w:p>
    <w:p>
      <w:pPr>
        <w:pStyle w:val="FirstParagraph"/>
      </w:pPr>
      <w:r>
        <w:t xml:space="preserve">21.08.2024</w:t>
      </w:r>
    </w:p>
    <w:p>
      <w:pPr>
        <w:pStyle w:val="BodyText"/>
      </w:pPr>
      <w:r>
        <w:t xml:space="preserve">Статья 48 Уголовного кодекса Российской Федерации предусматривает основания возможного применения судом такого наказания, как лишение специального, воинского или почетного звания, классного чина и государственных наград.</w:t>
      </w:r>
    </w:p>
    <w:p>
      <w:pPr>
        <w:pStyle w:val="BodyText"/>
      </w:pPr>
      <w:r>
        <w:t xml:space="preserve">Федеральным законом от 14.02.2024 № 11-ФЗ в статью 48 УК РФ внесены изменения, в частности расширено применение данного вида наказания.</w:t>
      </w:r>
    </w:p>
    <w:p>
      <w:pPr>
        <w:pStyle w:val="BodyText"/>
      </w:pPr>
      <w:r>
        <w:br/>
      </w:r>
    </w:p>
    <w:p>
      <w:pPr>
        <w:pStyle w:val="BodyText"/>
      </w:pPr>
      <w:r>
        <w:t xml:space="preserve">С 25.02.2024 оно может быть назначено в качестве дополнительного не только при осуждении виновного за совершение тяжкого или особо тяжкого преступления, но и за преступные деяния небольшой и средней тяжести, направленные против основ конституционного строя и безопасности государства, общественной безопасности, а также мира и безопасности человечества. Перечень таких преступлений является исчерпывающим.</w:t>
      </w:r>
    </w:p>
    <w:p>
      <w:pPr>
        <w:pStyle w:val="BodyText"/>
      </w:pPr>
      <w:r>
        <w:br/>
      </w:r>
    </w:p>
    <w:p>
      <w:pPr>
        <w:pStyle w:val="BodyText"/>
      </w:pPr>
      <w:r>
        <w:t xml:space="preserve">К ним отнесены: публичные призывы к осуществлению экстремистской деятельности (статья 280 УК РФ); публичные призывы к осуществлению действий, направленных на нарушение территориальной целостности Российской Федерации (статья 280.1 УК РФ);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совершенные лицом после его привлечения к административной ответственности за аналогичное деяние в течение одного года (часть первая статьи 280.3 УК РФ); публичные призывы к осуществлению деятельности, направленной против безопасности Российской Федерации, либо к воспрепятствованию исполнения органами власти и их должностными лицами своих полномочий по обеспечению безопасности Российской Федерации (часть первая статьи 280.4 УК РФ); осуществление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(части первая и вторая статьи 284.1 УК РФ);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лицом после его привлечения к административной ответственности за аналогичное деяние в течение одного года (часть первая статьи 282 УК РФ);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(статья 282.4 УК РФ); призывы к введению мер ограничительного характера в отношении Российской Федерации, граждан Российской Федерации или российских юридических лиц (статья 284.2 УК РФ); оказание содействия в исполнении решений международных организаций, в которых Российская Федерация не участвует, или иностранных государственных органов (статья 284.3 УК РФ); публичное распространение под видом достоверных сообщений заведомо ложной информации, содержащей данные об использовании Вооруженных Сил Российской Федерации в целях защиты интересов Российской Федерации и ее граждан, поддержания международного мира и безопасности либо об исполнении государственными органами Российской Федерации своих полномочий за пределами территории Российской Федерации в указанных целях, а равно содержащей данные об оказании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(часть первая статьи 207.3 УК РФ); реабилитация нацизма (статья 354.1 УК РФ).</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http://lublino.mos.ru/directions-of-activities/information-of-the-prosecutor-s-office/detail/12529385.html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information-of-the-prosecutor-s-office/detail/125293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information-of-the-prosecutor-s-office/detail/125293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2025-04-20T04:50:24Z</dcterms:created>
  <dcterms:modified xsi:type="dcterms:W3CDTF">2025-04-20T04:50:24Z</dcterms:modified>
</cp:coreProperties>
</file>

<file path=docProps/custom.xml><?xml version="1.0" encoding="utf-8"?>
<Properties xmlns="http://schemas.openxmlformats.org/officeDocument/2006/custom-properties" xmlns:vt="http://schemas.openxmlformats.org/officeDocument/2006/docPropsVTypes"/>
</file>