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0e96dde0fde3f063cd8a8ddff2e6df19b994b"/>
    <w:p>
      <w:pPr>
        <w:pStyle w:val="Heading3"/>
      </w:pPr>
      <w:r>
        <w:t xml:space="preserve">В управе района состоялось рабочее совещание по вопросу межнациональных отношений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drawing>
          <wp:inline>
            <wp:extent cx="2540000" cy="2654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герб%20Люблино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654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глава управы района Люблино А.П. Бирюков, глава муниципального округа Люблино Р.Х. Багаутдинов, руководители ГБУ Жилищник района Люблино», «Автомобильные дороги», подрядных организаций, представители социальной и религиозной сферы.</w:t>
      </w:r>
    </w:p>
    <w:p>
      <w:pPr>
        <w:pStyle w:val="BodyText"/>
      </w:pPr>
      <w:r>
        <w:t xml:space="preserve">Одним из направлений деятельности управы района Люблино является взаимодействие с общественными объединениями и религиозными организациями, расположенными на территории района.</w:t>
      </w:r>
    </w:p>
    <w:p>
      <w:pPr>
        <w:pStyle w:val="BodyText"/>
      </w:pPr>
      <w:r>
        <w:t xml:space="preserve">Ежегодно проводятся тематические мероприятия в рамках районного календарного плана по досуговой, социально-воспитательной, патриотической, культурной и спортивной работе с населением по месту жительства, направленные на развитие национальной культуры и народных традиций, а также на взаимодействие с иностранными гражданами на принципе толерантности.</w:t>
      </w:r>
    </w:p>
    <w:p>
      <w:pPr>
        <w:pStyle w:val="BodyText"/>
      </w:pPr>
      <w:r>
        <w:t xml:space="preserve">Планирование и реализация мероприятий осуществляется при взаимодействии с НКО района Люблино, Молодежной палатой, ОМВД, ОПОП, ГБУ и утверждением плана работы на заседании районного Совета депутатов.</w:t>
      </w:r>
    </w:p>
    <w:p>
      <w:pPr>
        <w:pStyle w:val="BodyText"/>
      </w:pPr>
      <w:r>
        <w:t xml:space="preserve">Работа консультативной комиссии по вопросам межнациональных и межконфессиональных отношений при управе района организована и проводится в соответствии с Планом мероприятий по реализации «стратегии государственной национальной политики Российской Федерации на период до 2025 года», постановлений Правительства Москвы от 22 июня 2010 г. №552-ПП «О концепции реализации государственной политики в сфере межэтнических отношений в городе Москве», от 7 июня 2011 г. №248-ПП «О комплексных мероприятиях по реализации государственной политики в сфере межэтнических отношений в городе Москве».</w:t>
      </w:r>
    </w:p>
    <w:p>
      <w:pPr>
        <w:pStyle w:val="BodyText"/>
      </w:pPr>
      <w:r>
        <w:t xml:space="preserve">Консультативная комиссия осуществляет подготовку и проведение на территории района мероприятий по содействию процессам межэтнической интеграции, утверждению межнационального согласия и межконфессиональной толерантности, а также по профилактике локальных межэтнических конфликтов.</w:t>
      </w:r>
    </w:p>
    <w:p>
      <w:pPr>
        <w:pStyle w:val="BodyText"/>
      </w:pPr>
      <w:r>
        <w:t xml:space="preserve">Большое внимание уделяется мероприятиям, направленным на формирование веротерпимости, уважения к традициям различных этнических групп и народов среди детей и молодежи.</w:t>
      </w:r>
    </w:p>
    <w:p>
      <w:pPr>
        <w:pStyle w:val="BodyText"/>
      </w:pPr>
      <w:r>
        <w:t xml:space="preserve">Представители управы района Люблино города Москвы принимают участие в заседаниях окружной Антитеррористической комиссии, проводят разъяснительную работу со старшими по домам, подъездам и советниками управы района Люблино о информировании ОМВД и ОПОП о фактах наличия в квартирах граждан, ведущих ассоциальный или подозрительный образ жизни. Организовывают и проводят мероприятия, направленные на недопущение религиозных, национальных или иных конфликтов в среде иногородних работников учреждений.</w:t>
      </w:r>
    </w:p>
    <w:p>
      <w:pPr>
        <w:pStyle w:val="BodyText"/>
      </w:pPr>
      <w:r>
        <w:t xml:space="preserve">Организовано оперативное взаимодействие с подведомственными организациями, образовательными учреждениями и правоохранительными органами района по вопросам оперативного реагирования в случае возникновения конфликтной ситуации или чрезвычайного происшествия.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http://lublino.mos.ru/directions-of-activities/social-sphere/news-of-the-social-sector/detail/11272322.html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1272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1272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2024-08-13T21:44:17Z</dcterms:created>
  <dcterms:modified xsi:type="dcterms:W3CDTF">2024-08-13T21:44:17Z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