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рамках-недели-толерантности"/>
    <w:p>
      <w:pPr>
        <w:pStyle w:val="Heading3"/>
      </w:pPr>
      <w:r>
        <w:t xml:space="preserve">В рамках недели толерантности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t xml:space="preserve">В своем выступлении она постаралась раскрыть причины появления нацизма в мире, при каких исторических условиях он возник, какие силы могут противостоять фашизму и как с ним бороться. Учащиеся узнали, в чем заключается опасность идей нацизма для общества в прошлом и настоящем.</w:t>
      </w:r>
    </w:p>
    <w:p>
      <w:pPr>
        <w:pStyle w:val="BodyText"/>
      </w:pPr>
      <w:r>
        <w:t xml:space="preserve">Нацизм — это болезнь, которой мир переболел в прошлом веке, но нацисты живы до сих пор и исповедуют ту же ущербную идеологию. Расизм, национализм, нацизм, фашизм, антисемитизм - какими словами не называй, всё равно ведёт к геноциду, холокосту.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http://lublino.mos.ru/directions-of-activities/social-sphere/news-of-the-social-sector/detail/11272333.html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1272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1272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2025-03-03T13:14:07Z</dcterms:created>
  <dcterms:modified xsi:type="dcterms:W3CDTF">2025-03-03T13:14:07Z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