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4a780e77e8901ec0359b82fb8bc76d323706c3"/>
    <w:p>
      <w:pPr>
        <w:pStyle w:val="Heading3"/>
      </w:pPr>
      <w:r>
        <w:t xml:space="preserve">Об организации мест отдыха в зимний период 2024-2025гг. на территории Юго-Восточного административного округа города Москвы</w:t>
      </w:r>
    </w:p>
    <w:p>
      <w:pPr>
        <w:pStyle w:val="FirstParagraph"/>
      </w:pPr>
      <w:r>
        <w:t xml:space="preserve">16.10.2024</w:t>
      </w:r>
    </w:p>
    <w:p>
      <w:pPr>
        <w:pStyle w:val="BodyText"/>
      </w:pPr>
      <w:hyperlink r:id="rId20">
        <w:r>
          <w:rPr>
            <w:rStyle w:val="Hyperlink"/>
          </w:rPr>
          <w:t xml:space="preserve">Об организации мест отдыха в зимний период 2024-2025гг. на территории Юго-Восточного административного округа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http://lublino.mos.ru/directions-of-activities/social-sphere/news-of-the-social-sector/detail/12614662.html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2024-10-15%20(3).pdf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12614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2024-10-15%20(3).pdf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12614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2025-04-08T17:46:42Z</dcterms:created>
  <dcterms:modified xsi:type="dcterms:W3CDTF">2025-04-08T17:46:42Z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