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(с изменениями) и включает сведения для оплаты указанных в нем налогов (QR-код, штрих-код, УИН, банковские реквизиты платежа).</w:t>
      </w:r>
    </w:p>
    <w:p>
      <w:pPr>
        <w:pStyle w:val="BodyText"/>
      </w:pPr>
      <w:r>
        <w:t xml:space="preserve">Налоги, подлежащие уплате физическими лицами в отношении принадлежащих им объектов недвижимого имущества и транспортных средств, исчисляются не более чем за три налоговых периода, предшествующих календарному году направления налогового уведомления.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ММВ-7-21/560@).</w:t>
      </w:r>
    </w:p>
    <w:p>
      <w:pPr>
        <w:pStyle w:val="BodyText"/>
      </w:pPr>
      <w:r>
        <w:t xml:space="preserve">Налоговое уведомление за налоговый период 2020 года должно быть исполнено (налоги в нём оплачены)</w:t>
      </w:r>
      <w:r>
        <w:t xml:space="preserve"> </w:t>
      </w:r>
      <w:r>
        <w:rPr>
          <w:bCs/>
          <w:b/>
        </w:rPr>
        <w:t xml:space="preserve">не позднее 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http://lublino.mos.ru/directions-of-activities/taxes-and-taxation/detail/10340326.html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34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34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2023-06-30T16:32:42Z</dcterms:created>
  <dcterms:modified xsi:type="dcterms:W3CDTF">2023-06-30T16:32:42Z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