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5f60a4212f5bd2db6067222fa853d64d8fec0c"/>
    <w:p>
      <w:pPr>
        <w:pStyle w:val="Heading3"/>
      </w:pPr>
      <w:r>
        <w:t xml:space="preserve">Беззаявительный порядок представления физическим лицам льгот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http://lublino.mos.ru/directions-of-activities/taxes-and-taxation/detail/10584112.html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Люблино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10584112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10584112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2025-04-11T01:34:42Z</dcterms:created>
  <dcterms:modified xsi:type="dcterms:W3CDTF">2025-04-11T01:34:42Z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