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9874c81ccdf5816f95e52b03d93ff63fcb055a"/>
    <w:p>
      <w:pPr>
        <w:pStyle w:val="Heading3"/>
      </w:pPr>
      <w:r>
        <w:t xml:space="preserve">28, 30 и 31 марта пройдут познавательные вебинары УФНС России по г. Москве. Переходите по QR-коду и регистрируйтесь.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drawing>
          <wp:inline>
            <wp:extent cx="5334000" cy="73711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upload/medialibrary/134/vebinar_imushchest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711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37114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upload/medialibrary/6ac/vebinar_in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711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37114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ublino.mos.ru/www/upload/medialibrary/4ee/vebinar_usn_itog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711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http://lublino.mos.ru/directions-of-activities/taxes-and-taxation/detail/10709318.html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Люблино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taxes-and-taxation/detail/10709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taxes-and-taxation/detail/10709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2025-04-11T01:51:02Z</dcterms:created>
  <dcterms:modified xsi:type="dcterms:W3CDTF">2025-04-11T01:51:02Z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