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>
      <w:pPr>
        <w:pStyle w:val="BodyText"/>
      </w:pPr>
      <w:r>
        <w:t xml:space="preserve">Значительно упростить процесс заполнения платежного документа позволяет электронный сервис 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</w:t>
      </w:r>
    </w:p>
    <w:p>
      <w:pPr>
        <w:pStyle w:val="BodyText"/>
      </w:pPr>
      <w:r>
        <w:t xml:space="preserve"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>
      <w:pPr>
        <w:pStyle w:val="BodyText"/>
      </w:pPr>
      <w:r>
        <w:t xml:space="preserve"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>
      <w:pPr>
        <w:pStyle w:val="BodyText"/>
      </w:pPr>
      <w:r>
        <w:drawing>
          <wp:inline>
            <wp:extent cx="5334000" cy="68656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fns_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65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http://lublino.mos.ru/directions-of-activities/taxes-and-taxation/detail/10717302.html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17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717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2025-04-10T13:51:15Z</dcterms:created>
  <dcterms:modified xsi:type="dcterms:W3CDTF">2025-04-10T13:51:15Z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