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f165a5fee63de9123b3d50f9ba646a01383170"/>
    <w:p>
      <w:pPr>
        <w:pStyle w:val="Heading3"/>
      </w:pPr>
      <w:r>
        <w:t xml:space="preserve">Беззаявительный порядок представления физ. лицам льгот по имущественным налогам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http://lublino.mos.ru/directions-of-activities/taxes-and-taxation/detail/10723602.html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Люблино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10723602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10723602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2025-04-10T11:49:36Z</dcterms:created>
  <dcterms:modified xsi:type="dcterms:W3CDTF">2025-04-10T11:49:36Z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