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график-проведения-вебинаров"/>
    <w:p>
      <w:pPr>
        <w:pStyle w:val="Heading3"/>
      </w:pPr>
      <w:r>
        <w:t xml:space="preserve">График проведения вебинаров</w:t>
      </w:r>
    </w:p>
    <w:p>
      <w:pPr>
        <w:pStyle w:val="FirstParagraph"/>
      </w:pPr>
      <w:r>
        <w:t xml:space="preserve">22.04.2022</w:t>
      </w:r>
    </w:p>
    <w:p>
      <w:pPr>
        <w:pStyle w:val="BodyText"/>
      </w:pPr>
      <w:r>
        <w:drawing>
          <wp:inline>
            <wp:extent cx="5334000" cy="770466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ublino.mos.ru/www/график%20апрель_page-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4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http://lublino.mos.ru/directions-of-activities/taxes-and-taxation/detail/10771026.html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Люблино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taxes-and-taxation/detail/107710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taxes-and-taxation/detail/107710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2025-04-10T12:44:15Z</dcterms:created>
  <dcterms:modified xsi:type="dcterms:W3CDTF">2025-04-10T12:44:15Z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