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единый-налоговый-счет"/>
    <w:p>
      <w:pPr>
        <w:pStyle w:val="Heading3"/>
      </w:pPr>
      <w:r>
        <w:t xml:space="preserve">Единый налоговый счет</w:t>
      </w:r>
    </w:p>
    <w:p>
      <w:pPr>
        <w:pStyle w:val="FirstParagraph"/>
      </w:pPr>
      <w:r>
        <w:t xml:space="preserve">19.12.2022</w:t>
      </w:r>
    </w:p>
    <w:p>
      <w:pPr>
        <w:pStyle w:val="BodyText"/>
      </w:pPr>
      <w:r>
        <w:drawing>
          <wp:inline>
            <wp:extent cx="5334000" cy="38299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Памятка%2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9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2092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Памятка%20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09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61829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ublino.mos.ru/www/111Без%20названия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18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http://lublino.mos.ru/directions-of-activities/taxes-and-taxation/detail/11299572.html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Люблино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taxes-and-taxation/detail/11299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taxes-and-taxation/detail/11299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2025-04-08T13:36:29Z</dcterms:created>
  <dcterms:modified xsi:type="dcterms:W3CDTF">2025-04-08T13:36:29Z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