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cf57e8175dc476b971293323fb2862c70af6a"/>
    <w:p>
      <w:pPr>
        <w:pStyle w:val="Heading3"/>
      </w:pPr>
      <w:r>
        <w:t xml:space="preserve">График проведения вебинаров с налогоплательщиками в январе 2023г. ИФНС России №22 по г. Москве</w:t>
      </w:r>
    </w:p>
    <w:p>
      <w:pPr>
        <w:pStyle w:val="FirstParagraph"/>
      </w:pPr>
      <w:r>
        <w:t xml:space="preserve">23.01.2023</w:t>
      </w:r>
    </w:p>
    <w:p>
      <w:pPr>
        <w:pStyle w:val="BodyText"/>
      </w:pPr>
      <w:r>
        <w:drawing>
          <wp:inline>
            <wp:extent cx="5143500" cy="73818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ИНФС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381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http://lublino.mos.ru/directions-of-activities/taxes-and-taxation/detail/11361230.html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1361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1361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2025-04-08T12:00:52Z</dcterms:created>
  <dcterms:modified xsi:type="dcterms:W3CDTF">2025-04-08T12:00:52Z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