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efb593230281ce232d6e9339c588476d7069a05"/>
    <w:p>
      <w:pPr>
        <w:pStyle w:val="Heading3"/>
      </w:pPr>
      <w:r>
        <w:t xml:space="preserve">График проведения вебинаров с налогоплательщиками в 1 квартале 2023 в ИФНС России № 21</w:t>
      </w:r>
    </w:p>
    <w:p>
      <w:pPr>
        <w:pStyle w:val="FirstParagraph"/>
      </w:pPr>
      <w:r>
        <w:t xml:space="preserve">23.01.2023</w:t>
      </w:r>
    </w:p>
    <w:p>
      <w:pPr>
        <w:pStyle w:val="BodyText"/>
      </w:pPr>
      <w:r>
        <w:drawing>
          <wp:inline>
            <wp:extent cx="5334000" cy="73652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!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52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75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!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87456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ublino.mos.ru/www/!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74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9469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lublino.mos.ru/www/!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94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96062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lublino.mos.ru/www/!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606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86390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lublino.mos.ru/www/!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639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94082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lublino.mos.ru/www/!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40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50712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lublino.mos.ru/www/!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50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http://lublino.mos.ru/directions-of-activities/taxes-and-taxation/detail/11361757.html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Люблино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45" Target="http://lublino.mos.ru" TargetMode="External" /><Relationship Type="http://schemas.openxmlformats.org/officeDocument/2006/relationships/hyperlink" Id="rId44" Target="http://lublino.mos.ru/directions-of-activities/taxes-and-taxation/detail/11361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lublino.mos.ru" TargetMode="External" /><Relationship Type="http://schemas.openxmlformats.org/officeDocument/2006/relationships/hyperlink" Id="rId44" Target="http://lublino.mos.ru/directions-of-activities/taxes-and-taxation/detail/11361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2024-06-19T21:54:36Z</dcterms:created>
  <dcterms:modified xsi:type="dcterms:W3CDTF">2024-06-19T21:54:36Z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