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49f34ff92c94237764cb25ab08dfcf07577ed"/>
    <w:p>
      <w:pPr>
        <w:pStyle w:val="Heading3"/>
      </w:pPr>
      <w:r>
        <w:t xml:space="preserve">Все платежи, администрируемые налоговыми органами подлежат уплате на отдельный казначейский счет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http://lublino.mos.ru/directions-of-activities/taxes-and-taxation/detail/11399152.html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399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399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2025-04-10T12:18:22Z</dcterms:created>
  <dcterms:modified xsi:type="dcterms:W3CDTF">2025-04-10T12:18:22Z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