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d4135ff31f4f8eb7f0f79d7615ad70e041842b"/>
    <w:p>
      <w:pPr>
        <w:pStyle w:val="Heading3"/>
      </w:pPr>
      <w:r>
        <w:t xml:space="preserve">О налоговых льготах при налогообложении имущества за налоговый период 2022 года и о порядке их предоставления</w:t>
      </w:r>
    </w:p>
    <w:p>
      <w:pPr>
        <w:pStyle w:val="FirstParagraph"/>
      </w:pPr>
      <w:r>
        <w:t xml:space="preserve">09.02.2023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http://lublino.mos.ru/directions-of-activities/taxes-and-taxation/detail/11400320.html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taxes-and-taxation/detail/114003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taxes-and-taxation/detail/114003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2025-04-26T23:33:33Z</dcterms:created>
  <dcterms:modified xsi:type="dcterms:W3CDTF">2025-04-26T23:33:33Z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