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a46bbb8ec78aa26e7cab3eebcc175cefb7f24"/>
    <w:p>
      <w:pPr>
        <w:pStyle w:val="Heading3"/>
      </w:pPr>
      <w:r>
        <w:t xml:space="preserve">Льготные условия по транспортному налогу в отношении электромобилей</w:t>
      </w:r>
    </w:p>
    <w:p>
      <w:pPr>
        <w:pStyle w:val="FirstParagraph"/>
      </w:pPr>
      <w:r>
        <w:t xml:space="preserve">03.04.2023</w:t>
      </w:r>
    </w:p>
    <w:p>
      <w:pPr>
        <w:pStyle w:val="BodyText"/>
      </w:pPr>
      <w:r>
        <w:drawing>
          <wp:inline>
            <wp:extent cx="5334000" cy="31854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ИФНС8888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54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http://lublino.mos.ru/directions-of-activities/taxes-and-taxation/detail/11506008.html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506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506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2025-06-23T10:14:48Z</dcterms:created>
  <dcterms:modified xsi:type="dcterms:W3CDTF">2025-06-23T10:14:48Z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