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svg" ContentType="image/svg+xml;base64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d086e1ff72907c7b3c97cf8f1d83cb9850d9283"/>
    <w:p>
      <w:pPr>
        <w:pStyle w:val="Heading3"/>
      </w:pPr>
      <w:r>
        <w:t xml:space="preserve">Уплатите налоги не позднее 1 декабря 2023</w:t>
      </w:r>
    </w:p>
    <w:p>
      <w:pPr>
        <w:pStyle w:val="FirstParagraph"/>
      </w:pPr>
      <w:r>
        <w:t xml:space="preserve">27.11.2023</w:t>
      </w:r>
    </w:p>
    <w:p>
      <w:pPr>
        <w:pStyle w:val="BodyText"/>
      </w:pPr>
      <w:hyperlink r:id="rId20">
        <w:r>
          <w:rPr>
            <w:rStyle w:val="Hyperlink"/>
          </w:rPr>
          <w:t xml:space="preserve">Налоговое уведомление</w:t>
        </w:r>
      </w:hyperlink>
      <w:r>
        <w:t xml:space="preserve"> </w:t>
      </w:r>
      <w:r>
        <w:t xml:space="preserve">— это документ, который налоговые органы направляют налогоплательщикам — физическим лицам.</w:t>
      </w:r>
    </w:p>
    <w:p>
      <w:pPr>
        <w:pStyle w:val="BodyText"/>
      </w:pPr>
      <w:r>
        <w:t xml:space="preserve">В этом году оно содержит информацию о налогах за 2022 год:</w:t>
      </w:r>
    </w:p>
    <w:p>
      <w:pPr>
        <w:numPr>
          <w:ilvl w:val="0"/>
          <w:numId w:val="1001"/>
        </w:numPr>
        <w:pStyle w:val="Compact"/>
      </w:pPr>
      <w:r>
        <w:t xml:space="preserve">транспортном,</w:t>
      </w:r>
    </w:p>
    <w:p>
      <w:pPr>
        <w:numPr>
          <w:ilvl w:val="0"/>
          <w:numId w:val="1001"/>
        </w:numPr>
        <w:pStyle w:val="Compact"/>
      </w:pPr>
      <w:r>
        <w:t xml:space="preserve">земельном,</w:t>
      </w:r>
    </w:p>
    <w:p>
      <w:pPr>
        <w:numPr>
          <w:ilvl w:val="0"/>
          <w:numId w:val="1001"/>
        </w:numPr>
        <w:pStyle w:val="Compact"/>
      </w:pPr>
      <w:r>
        <w:t xml:space="preserve">на имущество физических лиц,</w:t>
      </w:r>
    </w:p>
    <w:p>
      <w:pPr>
        <w:numPr>
          <w:ilvl w:val="0"/>
          <w:numId w:val="1001"/>
        </w:numPr>
        <w:pStyle w:val="Compact"/>
      </w:pPr>
      <w:r>
        <w:t xml:space="preserve">НДФЛ (в отношении доходов, по которым он не был удержан).</w:t>
      </w:r>
    </w:p>
    <w:p>
      <w:pPr>
        <w:pStyle w:val="FirstParagraph"/>
      </w:pPr>
      <w:r>
        <w:t xml:space="preserve">Что нужно знать о налоговом уведомлении: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data:image/svg+xml;base64,PHN2ZyB4bWxucz0iaHR0cDovL3d3dy53My5vcmcvMjAwMC9zdmciIHdpZHRoPSIyNHB4IiBoZWlnaHQ9IjI0cHgiIHZpZXdib3g9IjAgMCAyNCAyNCIgdmVyc2lvbj0iMS4xIiBrdC1zdmctaWNvbi0tbGcga3Qtc3ZnLWljb24tLXByaW1hcnkiPjxnIHN0cm9rZT0ibm9uZSIgc3Ryb2tlLXdpZHRoPSIxIiBmaWxsPSJub25lIiBmaWxsLXJ1bGU9ImV2ZW5vZGQiPjwvZz48L3N2Zz4=" id="23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- Оно</w:t>
      </w:r>
      <w:r>
        <w:t xml:space="preserve"> </w:t>
      </w:r>
      <w:hyperlink r:id="rId24">
        <w:r>
          <w:rPr>
            <w:rStyle w:val="Hyperlink"/>
          </w:rPr>
          <w:t xml:space="preserve">направляется</w:t>
        </w:r>
      </w:hyperlink>
      <w:r>
        <w:t xml:space="preserve"> </w:t>
      </w:r>
      <w:r>
        <w:t xml:space="preserve">не позднее 30 дней до наступления срока уплаты налогов.</w:t>
      </w:r>
    </w:p>
    <w:p>
      <w:pPr>
        <w:pStyle w:val="BodyText"/>
      </w:pPr>
      <w:r>
        <w:t xml:space="preserve">- Если общая сумма налогов составляет менее 100 рублей, оно</w:t>
      </w:r>
      <w:r>
        <w:t xml:space="preserve"> </w:t>
      </w:r>
      <w:hyperlink r:id="rId24">
        <w:r>
          <w:rPr>
            <w:rStyle w:val="Hyperlink"/>
          </w:rPr>
          <w:t xml:space="preserve">не направляется</w:t>
        </w:r>
      </w:hyperlink>
      <w:r>
        <w:t xml:space="preserve">.</w:t>
      </w:r>
    </w:p>
    <w:p>
      <w:pPr>
        <w:pStyle w:val="BodyText"/>
      </w:pPr>
      <w:r>
        <w:t xml:space="preserve">- Исключение — отправка уведомления в календарном году, по истечении которого налоговый орган больше не сможет его направить.Приоритетный способ рассылки уведомлений — в электронной форме через</w:t>
      </w:r>
      <w:r>
        <w:t xml:space="preserve"> </w:t>
      </w:r>
      <w:hyperlink r:id="rId25">
        <w:r>
          <w:rPr>
            <w:rStyle w:val="Hyperlink"/>
          </w:rPr>
          <w:t xml:space="preserve">Личный кабинет налогоплательщика</w:t>
        </w:r>
      </w:hyperlink>
      <w:r>
        <w:t xml:space="preserve">.</w:t>
      </w:r>
    </w:p>
    <w:p>
      <w:pPr>
        <w:pStyle w:val="BodyText"/>
      </w:pPr>
      <w:r>
        <w:t xml:space="preserve">- Также, начиная с 01.07.2023, через</w:t>
      </w:r>
      <w:r>
        <w:t xml:space="preserve"> </w:t>
      </w:r>
      <w:hyperlink r:id="rId26">
        <w:r>
          <w:rPr>
            <w:rStyle w:val="Hyperlink"/>
          </w:rPr>
          <w:t xml:space="preserve">личный кабинет на едином портале государственных и муниципальных услуг</w:t>
        </w:r>
      </w:hyperlink>
      <w:r>
        <w:t xml:space="preserve">.Лицам, не имеющим доступа к этим сервисам, налоговое уведомление отправляется по почте заказным письмом.</w:t>
      </w:r>
    </w:p>
    <w:p>
      <w:pPr>
        <w:pStyle w:val="BodyText"/>
      </w:pPr>
      <w:r>
        <w:t xml:space="preserve">- Налоговое уведомление за налоговый период 2022 года должно быть исполнено (оплачено) не позднее 1 декабря 2023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http://lublino.mos.ru/directions-of-activities/taxes-and-taxation/detail/12006454.html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Люблино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svg" /><Relationship Type="http://schemas.openxmlformats.org/officeDocument/2006/relationships/hyperlink" Id="rId28" Target="http://lublino.mos.ru" TargetMode="External" /><Relationship Type="http://schemas.openxmlformats.org/officeDocument/2006/relationships/hyperlink" Id="rId27" Target="http://lublino.mos.ru/directions-of-activities/taxes-and-taxation/detail/12006454.html" TargetMode="External" /><Relationship Type="http://schemas.openxmlformats.org/officeDocument/2006/relationships/hyperlink" Id="rId24" Target="http://nalog.garant.ru/fns/nk/5f8ae450aa10a78f0b0005a38b5989df/" TargetMode="External" /><Relationship Type="http://schemas.openxmlformats.org/officeDocument/2006/relationships/hyperlink" Id="rId25" Target="https://lkfl2.nalog.ru/" TargetMode="External" /><Relationship Type="http://schemas.openxmlformats.org/officeDocument/2006/relationships/hyperlink" Id="rId26" Target="https://www.gosuslugi.ru/" TargetMode="External" /><Relationship Type="http://schemas.openxmlformats.org/officeDocument/2006/relationships/hyperlink" Id="rId20" Target="https://www.nalog.gov.ru/rn77/about_fts/docs/1273384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lublino.mos.ru" TargetMode="External" /><Relationship Type="http://schemas.openxmlformats.org/officeDocument/2006/relationships/hyperlink" Id="rId27" Target="http://lublino.mos.ru/directions-of-activities/taxes-and-taxation/detail/12006454.html" TargetMode="External" /><Relationship Type="http://schemas.openxmlformats.org/officeDocument/2006/relationships/hyperlink" Id="rId24" Target="http://nalog.garant.ru/fns/nk/5f8ae450aa10a78f0b0005a38b5989df/" TargetMode="External" /><Relationship Type="http://schemas.openxmlformats.org/officeDocument/2006/relationships/hyperlink" Id="rId25" Target="https://lkfl2.nalog.ru/" TargetMode="External" /><Relationship Type="http://schemas.openxmlformats.org/officeDocument/2006/relationships/hyperlink" Id="rId26" Target="https://www.gosuslugi.ru/" TargetMode="External" /><Relationship Type="http://schemas.openxmlformats.org/officeDocument/2006/relationships/hyperlink" Id="rId20" Target="https://www.nalog.gov.ru/rn77/about_fts/docs/1273384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2025-04-10T13:52:23Z</dcterms:created>
  <dcterms:modified xsi:type="dcterms:W3CDTF">2025-04-10T13:52:23Z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