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0a05c7c3c5be1efb5399dd2e2b6f2a8446026"/>
    <w:p>
      <w:pPr>
        <w:pStyle w:val="Heading3"/>
      </w:pPr>
      <w:r>
        <w:t xml:space="preserve">В ИФНС России № 23 по г. Москве пройдет вебинар для налогоплательщиков по теме: Информационная кампания по рассылке налоговых уведомлений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drawing>
          <wp:inline>
            <wp:extent cx="5334000" cy="419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ФНС113689!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http://lublino.mos.ru/directions-of-activities/taxes-and-taxation/detail/12036610.html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036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036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2025-04-08T12:22:03Z</dcterms:created>
  <dcterms:modified xsi:type="dcterms:W3CDTF">2025-04-08T12:22:03Z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