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9836693916b11a518a4ef6c5aab22fe1f6d39"/>
    <w:p>
      <w:pPr>
        <w:pStyle w:val="Heading3"/>
      </w:pPr>
      <w:r>
        <w:t xml:space="preserve">В ИФНС России № 23 по г. Москве пройдет вебинар для налогоплательщиков по теме: "Декларационная кампания 2024"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drawing>
          <wp:inline>
            <wp:extent cx="5334000" cy="44130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ИНФС1!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30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http://lublino.mos.ru/directions-of-activities/taxes-and-taxation/detail/12135059.html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2135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2135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2024-09-17T20:18:37Z</dcterms:created>
  <dcterms:modified xsi:type="dcterms:W3CDTF">2024-09-17T20:18:37Z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