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1b6814ec12dd1b0bf726914a8b31394e4fd4b"/>
    <w:p>
      <w:pPr>
        <w:pStyle w:val="Heading3"/>
      </w:pPr>
      <w:r>
        <w:t xml:space="preserve">Бездекларационное администрирование налога на имущество организаций в отношении объектов, налоговая база по которым определяется как кадастровая стоимость</w:t>
      </w:r>
    </w:p>
    <w:p>
      <w:pPr>
        <w:pStyle w:val="FirstParagraph"/>
      </w:pPr>
      <w:r>
        <w:t xml:space="preserve">30.01.2024</w:t>
      </w:r>
    </w:p>
    <w:p>
      <w:pPr>
        <w:pStyle w:val="BodyText"/>
      </w:pPr>
      <w:r>
        <w:t xml:space="preserve">С 1 января 2023 года введено бездекларационное администрирование налога на имущество организаций в отношении объектов , налоговая база по которым определяется как кадастровая стоимость.</w:t>
      </w:r>
    </w:p>
    <w:p>
      <w:pPr>
        <w:pStyle w:val="BodyText"/>
      </w:pPr>
      <w:r>
        <w:t xml:space="preserve">За налоговый период 2023 года налогоплательщики - российские организации не включают в налоговую декларацию по налогу на имущество организаций сведения об объектах налогообложения, налоговая база по которым определяется как кадастровая стоимость, а также не представляют декларацию по транспортному и земельному налогам.</w:t>
      </w:r>
    </w:p>
    <w:p>
      <w:pPr>
        <w:pStyle w:val="BodyText"/>
      </w:pPr>
      <w:r>
        <w:t xml:space="preserve">В соответствии с подпунктом 1 пункта 4 статьи 363 Кодекса налоговые органы направляют налогоплательщикам-организациям сообщения об исчисленных налоговыми органами суммах налога.</w:t>
      </w:r>
    </w:p>
    <w:p>
      <w:pPr>
        <w:pStyle w:val="BodyText"/>
      </w:pPr>
      <w:r>
        <w:t xml:space="preserve">Для проведения сверки об объектах налогообложения целесообразно запросить выписку из Единого государственного реестра налогоплательщиков о своей организации с указанием всех учтенных объектов, в случае выявления расхождений сведений, необходимо сообщить об этом в налоговый орган по месту нахождения объектов налогообложения с указанием выявленных несоответствий.</w:t>
      </w:r>
    </w:p>
    <w:p>
      <w:pPr>
        <w:pStyle w:val="BodyText"/>
      </w:pPr>
      <w:r>
        <w:t xml:space="preserve">При наличии оснований Вы вправе представить в налоговый орган следующие документы, относящиеся к налоговому периоду 2023 года:</w:t>
      </w:r>
    </w:p>
    <w:p>
      <w:pPr>
        <w:pStyle w:val="BodyText"/>
      </w:pPr>
      <w:r>
        <w:t xml:space="preserve">- заявление налогоплательщика-организации о предоставлении налоговой льготы по транспортному налогу и (или) земельному налогу - КНД 1150064;</w:t>
      </w:r>
    </w:p>
    <w:p>
      <w:pPr>
        <w:pStyle w:val="BodyText"/>
      </w:pPr>
      <w:r>
        <w:t xml:space="preserve">- заявление налогоплательщика-российской организации о предоставлении налоговой льготы по налогу на имущество организаций - КНД 1150121;</w:t>
      </w:r>
    </w:p>
    <w:p>
      <w:pPr>
        <w:pStyle w:val="BodyText"/>
      </w:pPr>
      <w:r>
        <w:t xml:space="preserve">- заявление о гибели или уничтожении объекта налогообложения по транспортному налогу - КНД 1150076;</w:t>
      </w:r>
    </w:p>
    <w:p>
      <w:pPr>
        <w:pStyle w:val="BodyText"/>
      </w:pPr>
      <w:r>
        <w:t xml:space="preserve">- заявление о гибели или уничтожении объекта налогообложения по налогу на имущество организаций - КНД 1150123;</w:t>
      </w:r>
    </w:p>
    <w:p>
      <w:pPr>
        <w:pStyle w:val="BodyText"/>
      </w:pPr>
      <w:r>
        <w:t xml:space="preserve">- заявление о прекращении исчисления транспортного налога в связи с принудительным изъятием транспортного средства - КНД 1150122;</w:t>
      </w:r>
    </w:p>
    <w:p>
      <w:pPr>
        <w:pStyle w:val="BodyText"/>
      </w:pPr>
      <w:r>
        <w:t xml:space="preserve">- заявление о прекращении исчисления транспортного налога (авансового платежа по налогу) в отношении транспортного средства, находящегося в розыске в связи с его угоном (хищением), транспортного средства, находившегося в розыске в связи с его угоном (хищением), розыск которого прекращен - КНД 1150136;</w:t>
      </w:r>
    </w:p>
    <w:p>
      <w:pPr>
        <w:pStyle w:val="BodyText"/>
      </w:pPr>
      <w:r>
        <w:t xml:space="preserve">- уведомление о наличии на земельном участке жилищного фонда и (или) объектов инженерной инфраструктуры жилищно-коммунального комплекса, о площади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 - КНД 1150137.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http://lublino.mos.ru/directions-of-activities/taxes-and-taxation/detail/12135101.html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21351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21351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2025-04-08T12:39:53Z</dcterms:created>
  <dcterms:modified xsi:type="dcterms:W3CDTF">2025-04-08T12:39:53Z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