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e6571153675b33ebea0704aa0e5aea6950d0c"/>
    <w:p>
      <w:pPr>
        <w:pStyle w:val="Heading3"/>
      </w:pPr>
      <w:r>
        <w:t xml:space="preserve">Заявительный порядок предоставления налоговых льгот по имущественным налогом юридических лиц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Организациям, которые имеют право на льготы по имущественным налогам (транспортный налог, земельный налог, налог на имущество), необходимо направить в налоговый орган заявление налогоплательщика-организации о предоставления налоговой льготы. Форма заявления о предоставлении налоговой льготы утверждены формами КНД 1150064 (транспортный и(или) земельный налог) и КНД 1150121 (налог на имущество).</w:t>
      </w:r>
    </w:p>
    <w:p>
      <w:pPr>
        <w:pStyle w:val="BodyText"/>
      </w:pPr>
      <w:r>
        <w:t xml:space="preserve">Вместе с заявлениями налогоплательщики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Для корректного расчета налога заявление о представлении налоговой льготы за 2023 год организации целесообразно представить не позднее I квартала 2024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—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соответствующей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ив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http://lublino.mos.ru/directions-of-activities/taxes-and-taxation/detail/12135109.html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135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135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2025-04-08T12:23:14Z</dcterms:created>
  <dcterms:modified xsi:type="dcterms:W3CDTF">2025-04-08T12:23:14Z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