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0bc90717e13cf78dfe9ee6f02c60df6ef484737"/>
    <w:p>
      <w:pPr>
        <w:pStyle w:val="Heading3"/>
      </w:pPr>
      <w:r>
        <w:t xml:space="preserve">Москва принимает участие в реализации отраслевого проекта ФНС России «Общественное питание»</w:t>
      </w:r>
    </w:p>
    <w:p>
      <w:pPr>
        <w:pStyle w:val="FirstParagraph"/>
      </w:pPr>
      <w:r>
        <w:t xml:space="preserve">24.04.2024</w:t>
      </w:r>
    </w:p>
    <w:p>
      <w:pPr>
        <w:pStyle w:val="BodyText"/>
      </w:pPr>
      <w:r>
        <w:drawing>
          <wp:inline>
            <wp:extent cx="5334000" cy="770268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листовка%2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26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70268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lublino.mos.ru/www/листовка%2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26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705852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lublino.mos.ru/www/листовка%20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58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http://lublino.mos.ru/directions-of-activities/taxes-and-taxation/detail/12337755.html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Люблино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lublino.mos.ru" TargetMode="External" /><Relationship Type="http://schemas.openxmlformats.org/officeDocument/2006/relationships/hyperlink" Id="rId29" Target="http://lublino.mos.ru/directions-of-activities/taxes-and-taxation/detail/123377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lublino.mos.ru" TargetMode="External" /><Relationship Type="http://schemas.openxmlformats.org/officeDocument/2006/relationships/hyperlink" Id="rId29" Target="http://lublino.mos.ru/directions-of-activities/taxes-and-taxation/detail/123377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2025-04-08T12:03:16Z</dcterms:created>
  <dcterms:modified xsi:type="dcterms:W3CDTF">2025-04-08T12:03:16Z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