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14.10.2024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http://lublino.mos.ru/directions-of-activities/taxes-and-taxation/detail/12611472.html</w:t>
        </w:r>
      </w:hyperlink>
    </w:p>
    <w:p>
      <w:pPr>
        <w:pStyle w:val="BodyText"/>
      </w:pPr>
      <w:hyperlink r:id="rId22">
        <w:r>
          <w:rPr>
            <w:rStyle w:val="Hyperlink"/>
          </w:rPr>
          <w:t xml:space="preserve">Управа района Люблино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ublino.mos.ru" TargetMode="External" /><Relationship Type="http://schemas.openxmlformats.org/officeDocument/2006/relationships/hyperlink" Id="rId21" Target="http://lublino.mos.ru/directions-of-activities/taxes-and-taxation/detail/12611472.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lublino.mos.ru" TargetMode="External" /><Relationship Type="http://schemas.openxmlformats.org/officeDocument/2006/relationships/hyperlink" Id="rId21" Target="http://lublino.mos.ru/directions-of-activities/taxes-and-taxation/detail/12611472.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2025-04-08T12:52:29Z</dcterms:created>
  <dcterms:modified xsi:type="dcterms:W3CDTF">2025-04-08T12:52:29Z</dcterms:modified>
</cp:coreProperties>
</file>

<file path=docProps/custom.xml><?xml version="1.0" encoding="utf-8"?>
<Properties xmlns="http://schemas.openxmlformats.org/officeDocument/2006/custom-properties" xmlns:vt="http://schemas.openxmlformats.org/officeDocument/2006/docPropsVTypes"/>
</file>