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4cda2e74b74379893691b86ec218c36089c72b"/>
    <w:p>
      <w:pPr>
        <w:pStyle w:val="Heading3"/>
      </w:pPr>
      <w:r>
        <w:t xml:space="preserve">Инспекция Федеральной налоговой службы № 23 по г. Москве проводит вебинары для налогоплательщиков</w:t>
      </w:r>
    </w:p>
    <w:p>
      <w:pPr>
        <w:pStyle w:val="FirstParagraph"/>
      </w:pPr>
      <w:r>
        <w:t xml:space="preserve">14.10.2024</w:t>
      </w:r>
    </w:p>
    <w:p>
      <w:pPr>
        <w:pStyle w:val="BodyText"/>
      </w:pPr>
      <w:r>
        <w:t xml:space="preserve">В инспекции Федеральной налоговой службы № 23 по г. Москве пройдут вебинары для налогоплательщиков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http://lublino.mos.ru/directions-of-activities/taxes-and-taxation/detail/12611557.html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Люблино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directions-of-activities/taxes-and-taxation/detail/1261155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directions-of-activities/taxes-and-taxation/detail/1261155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2025-04-08T11:45:50Z</dcterms:created>
  <dcterms:modified xsi:type="dcterms:W3CDTF">2025-04-08T11:45:50Z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