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декларирование-доходов-физических-лиц"/>
    <w:p>
      <w:pPr>
        <w:pStyle w:val="Heading3"/>
      </w:pPr>
      <w:r>
        <w:t xml:space="preserve">Декларирование доходов физических лиц</w:t>
      </w:r>
    </w:p>
    <w:p>
      <w:pPr>
        <w:pStyle w:val="FirstParagraph"/>
      </w:pPr>
      <w:r>
        <w:t xml:space="preserve">28.03.2025</w:t>
      </w:r>
    </w:p>
    <w:p>
      <w:pPr>
        <w:pStyle w:val="BodyText"/>
      </w:pPr>
      <w:r>
        <w:drawing>
          <wp:inline>
            <wp:extent cx="5334000" cy="754198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Приложение%20(1)_page-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19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http://lublino.mos.ru/directions-of-activities/taxes-and-taxation/detail/12882526.html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taxes-and-taxation/detail/128825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taxes-and-taxation/detail/128825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2025-04-08T11:32:25Z</dcterms:created>
  <dcterms:modified xsi:type="dcterms:W3CDTF">2025-04-08T11:32:25Z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