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75101dca9d48b2aa9c6173ccc1bd3f5208869"/>
    <w:p>
      <w:pPr>
        <w:pStyle w:val="Heading3"/>
      </w:pPr>
      <w:r>
        <w:t xml:space="preserve">Как заявить налоговую льготу по имущественным долгам</w:t>
      </w:r>
    </w:p>
    <w:p>
      <w:pPr>
        <w:pStyle w:val="FirstParagraph"/>
      </w:pPr>
      <w:r>
        <w:t xml:space="preserve">21.02.2017</w:t>
      </w:r>
    </w:p>
    <w:p>
      <w:pPr>
        <w:pStyle w:val="BodyText"/>
      </w:pPr>
      <w:r>
        <w:drawing>
          <wp:inline>
            <wp:extent cx="5334000" cy="75418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Приложение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1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http://lublino.mos.ru/directions-of-activities/taxes-and-taxation/detail/5023999.html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5023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5023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2025-04-08T14:25:22Z</dcterms:created>
  <dcterms:modified xsi:type="dcterms:W3CDTF">2025-04-08T14:25:22Z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