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уважаемые-налогоплательщики"/>
    <w:p>
      <w:pPr>
        <w:pStyle w:val="Heading3"/>
      </w:pPr>
      <w:r>
        <w:t xml:space="preserve">Уважаемые налогоплательщики!!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ИФНС России № 22 по г. Москве сообщает, что с 1 января 2017 года уплата страховых взносов, в том числе за расчетные периоды, истекшие до 1 января 2017 года, должна производиться с использованием кодов бюджетной классификации (далее - КБК), закрепленных за ФНС России</w:t>
      </w:r>
      <w:r>
        <w:t xml:space="preserve"> </w:t>
      </w:r>
      <w:hyperlink r:id="rId20">
        <w:r>
          <w:rPr>
            <w:rStyle w:val="Hyperlink"/>
          </w:rPr>
          <w:t xml:space="preserve">приказом</w:t>
        </w:r>
      </w:hyperlink>
      <w:r>
        <w:t xml:space="preserve"> </w:t>
      </w:r>
      <w:r>
        <w:t xml:space="preserve">Минфина России от 07.12.2016 N 230н "О внесении изменений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г. N 65н".</w:t>
      </w:r>
    </w:p>
    <w:p>
      <w:pPr>
        <w:pStyle w:val="BodyText"/>
      </w:pPr>
      <w:r>
        <w:t xml:space="preserve">При заполнении платежных поручений особое внимание необходимо обратить на указание следующих реквизитов платежных поручений:</w:t>
      </w:r>
    </w:p>
    <w:p>
      <w:pPr>
        <w:pStyle w:val="BodyText"/>
      </w:pPr>
      <w:r>
        <w:t xml:space="preserve">"ИНН" и "КПП" получателя средств - значение "ИНН" и "КПП" соответствующего налогового органа, осуществляющего администрирование платежа;</w:t>
      </w:r>
    </w:p>
    <w:p>
      <w:pPr>
        <w:pStyle w:val="BodyText"/>
      </w:pPr>
      <w:r>
        <w:t xml:space="preserve">"Получатель" - сокращенное наименование органа Федерального казначейства и в скобках - сокращенное наименование налогового органа, осуществляющего администрирование платежа;</w:t>
      </w:r>
    </w:p>
    <w:p>
      <w:pPr>
        <w:pStyle w:val="BodyText"/>
      </w:pPr>
      <w:r>
        <w:t xml:space="preserve">код бюджетной классификации - значение КБК, состоящее из 20 знаков (цифр), при этом первые три знака, обозначающие код главного администратора доходов бюджетов бюджетной системы Российской Федерации, должен принимать значение "182" - Федеральная налоговая служба в соответствии с таблицей соответствия;</w:t>
      </w:r>
    </w:p>
    <w:p>
      <w:pPr>
        <w:pStyle w:val="BodyText"/>
      </w:pPr>
      <w:r>
        <w:t xml:space="preserve">"Статус плательщика" - показатель "01" - налогоплательщик, производящий выплаты физическим лицам.</w:t>
      </w:r>
    </w:p>
    <w:p>
      <w:pPr>
        <w:pStyle w:val="BodyText"/>
      </w:pPr>
      <w:r>
        <w:t xml:space="preserve">При перечислении страховых взносов за себя в поле "Статус плательщика" указывается одно из следующих значений:</w:t>
      </w:r>
    </w:p>
    <w:p>
      <w:pPr>
        <w:pStyle w:val="BodyText"/>
      </w:pPr>
      <w:r>
        <w:t xml:space="preserve">индивидуальный предприниматель - "09";</w:t>
      </w:r>
    </w:p>
    <w:p>
      <w:pPr>
        <w:pStyle w:val="BodyText"/>
      </w:pPr>
      <w:r>
        <w:t xml:space="preserve">нотариус, занимающийся частной практикой - "10";</w:t>
      </w:r>
    </w:p>
    <w:p>
      <w:pPr>
        <w:pStyle w:val="BodyText"/>
      </w:pPr>
      <w:r>
        <w:t xml:space="preserve">адвокат, учредивший адвокатский кабинет - "11";</w:t>
      </w:r>
    </w:p>
    <w:p>
      <w:pPr>
        <w:pStyle w:val="BodyText"/>
      </w:pPr>
      <w:r>
        <w:t xml:space="preserve">глава крестьянского (фермерского) хозяйства - "12".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1">
        <w:r>
          <w:rPr>
            <w:rStyle w:val="Hyperlink"/>
          </w:rPr>
          <w:t xml:space="preserve">www.nalog.ru</w:t>
        </w:r>
      </w:hyperlink>
      <w:r>
        <w:t xml:space="preserve">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http://lublino.mos.ru/directions-of-activities/taxes-and-taxation/detail/5895646.html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3088E7A5E0ABE1DACBD57CA59698F2BA8855CEDD904E2424AD0C80009431C7F317087C780F3874C102c9P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taxes-and-taxation/detail/5895646.html" TargetMode="External" /><Relationship Type="http://schemas.openxmlformats.org/officeDocument/2006/relationships/hyperlink" Id="rId21" Target="http://www.r77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3088E7A5E0ABE1DACBD57CA59698F2BA8855CEDD904E2424AD0C80009431C7F317087C780F3874C102c9P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taxes-and-taxation/detail/5895646.html" TargetMode="External" /><Relationship Type="http://schemas.openxmlformats.org/officeDocument/2006/relationships/hyperlink" Id="rId21" Target="http://www.r77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2025-04-08T14:20:36Z</dcterms:created>
  <dcterms:modified xsi:type="dcterms:W3CDTF">2025-04-08T14:20:36Z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