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орядок-заполнения-платежного-поручения"/>
    <w:p>
      <w:pPr>
        <w:pStyle w:val="Heading3"/>
      </w:pPr>
      <w:r>
        <w:t xml:space="preserve">Порядок заполнения платежного поручения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drawing>
          <wp:inline>
            <wp:extent cx="5334000" cy="73722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Без%20имени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2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1391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партапрп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91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88158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вавпва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81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http://lublino.mos.ru/directions-of-activities/taxes-and-taxation/detail/8429187.html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8429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8429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2025-06-09T09:59:41Z</dcterms:created>
  <dcterms:modified xsi:type="dcterms:W3CDTF">2025-06-09T09:59:41Z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