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baf35e9f8dbc38fa4cbd375279e60e699ac598a"/>
    <w:p>
      <w:pPr>
        <w:pStyle w:val="Heading3"/>
      </w:pPr>
      <w:r>
        <w:t xml:space="preserve">Беззаявительный порядок предоставления налоговых льгот для отдельных категорий граждан</w:t>
      </w:r>
    </w:p>
    <w:p>
      <w:pPr>
        <w:pStyle w:val="FirstParagraph"/>
      </w:pPr>
      <w:r>
        <w:t xml:space="preserve">08.04.2020</w:t>
      </w:r>
    </w:p>
    <w:p>
      <w:pPr>
        <w:pStyle w:val="BodyText"/>
      </w:pPr>
      <w:r>
        <w:t xml:space="preserve">Беззаявительный порядок предоставления налоговых льгот и налоговых вычетов по налогу на имущество физических лиц и земельному налогу предусмотрен для отдельных категорий граждан,</w:t>
      </w:r>
      <w:r>
        <w:t xml:space="preserve"> </w:t>
      </w:r>
      <w:r>
        <w:rPr>
          <w:bCs/>
          <w:b/>
        </w:rPr>
        <w:t xml:space="preserve">таких как пенсионеры, предпенсионеры, инвалиды (ряда категорий), лица, имеющие трех и более несовершеннолетних детей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п.п.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п. 1</w:t>
        </w:r>
      </w:hyperlink>
      <w:r>
        <w:t xml:space="preserve"> </w:t>
      </w:r>
      <w:r>
        <w:t xml:space="preserve">ст. 407,</w:t>
      </w:r>
      <w:r>
        <w:t xml:space="preserve"> </w:t>
      </w:r>
      <w:hyperlink r:id="rId26">
        <w:r>
          <w:rPr>
            <w:rStyle w:val="Hyperlink"/>
          </w:rPr>
          <w:t xml:space="preserve">п.п.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п. 5 ст. 391</w:t>
        </w:r>
      </w:hyperlink>
      <w:r>
        <w:t xml:space="preserve"> </w:t>
      </w:r>
      <w:r>
        <w:t xml:space="preserve">НК РФ).</w:t>
      </w:r>
    </w:p>
    <w:p>
      <w:pPr>
        <w:pStyle w:val="BodyText"/>
      </w:pPr>
      <w:r>
        <w:t xml:space="preserve">Начиная с налогового периода 2018 года льготным категориям граждан предоставляются налоговые льготы и налоговый вычет на основании имеющейся у налоговой службы информации, то есть без обращения налогоплательщика.</w:t>
      </w:r>
    </w:p>
    <w:p>
      <w:pPr>
        <w:pStyle w:val="BodyText"/>
      </w:pPr>
      <w:r>
        <w:t xml:space="preserve">Налоговые органы получают информацию следующими способами:</w:t>
      </w:r>
    </w:p>
    <w:p>
      <w:pPr>
        <w:pStyle w:val="BodyText"/>
      </w:pPr>
      <w:r>
        <w:t xml:space="preserve">1) если налогоплательщик ранее представлял заявление на льготу (на вычет) по данному основанию;</w:t>
      </w:r>
    </w:p>
    <w:p>
      <w:pPr>
        <w:pStyle w:val="BodyText"/>
      </w:pPr>
      <w:r>
        <w:t xml:space="preserve">2) от иных органов, организаций, должностных лиц в соответствии с НК РФ и другими федеральными законами.</w:t>
      </w:r>
    </w:p>
    <w:p>
      <w:pPr>
        <w:pStyle w:val="BodyText"/>
      </w:pPr>
      <w:r>
        <w:t xml:space="preserve">С 2020 года беззаявительный порядок представления льгот также предусмотрен и по транспортному налогу.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Управление обращает внимание, что для иных категорий граждан, имеющих право на налоговые льготы, льготы по уплате налога на имущество физических лиц, транспортного и земельного налогов предоставляются только на основании заявления, представленного по установленной форме.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льготу.</w:t>
      </w:r>
    </w:p>
    <w:p>
      <w:pPr>
        <w:pStyle w:val="BodyText"/>
      </w:pPr>
      <w:r>
        <w:t xml:space="preserve">Если право на налоговую льготу возникло в 2019 году впервые и ранее гражданин не обращался в налоговые органы с заявлением по установленной форме о предоставлении льготы, а также, если продлен период предоставления льготы, Управление рекомендует налогоплательщикам обратиться с указанным заявлением до апреля 2020 года в целях учета налоговых льгот и корректного исчисления имущественных налогов физических лиц в этом году.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http://lublino.mos.ru/directions-of-activities/taxes-and-taxation/detail/8819587.html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Люблино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lublino.mos.ru" TargetMode="External" /><Relationship Type="http://schemas.openxmlformats.org/officeDocument/2006/relationships/hyperlink" Id="rId31" Target="http://lublino.mos.ru/directions-of-activities/taxes-and-taxation/detail/8819587.html" TargetMode="External" /><Relationship Type="http://schemas.openxmlformats.org/officeDocument/2006/relationships/hyperlink" Id="rId3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lublino.mos.ru" TargetMode="External" /><Relationship Type="http://schemas.openxmlformats.org/officeDocument/2006/relationships/hyperlink" Id="rId31" Target="http://lublino.mos.ru/directions-of-activities/taxes-and-taxation/detail/8819587.html" TargetMode="External" /><Relationship Type="http://schemas.openxmlformats.org/officeDocument/2006/relationships/hyperlink" Id="rId3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2025-04-08T14:20:39Z</dcterms:created>
  <dcterms:modified xsi:type="dcterms:W3CDTF">2025-04-08T14:20:39Z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