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нп---это-удобно"/>
    <w:p>
      <w:pPr>
        <w:pStyle w:val="Heading3"/>
      </w:pPr>
      <w:r>
        <w:t xml:space="preserve">ЕНП - это удобно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В соответствии с п. 1 ст. 45.1 Налогового кодекса РФ ЕНПФЛ - это денежные средства, добровольно перечисляемые в бюджетную систему Российской Федерации на соответствующий счет Федерального казначейства налогоплательщиком - физическим лицом в счет исполнения обязанности по уплате транспортного налога, земельного налога и (или) налога на имущество физических лиц и налога на доходы физических лиц в соответствии с п. 6 ст. 228 НК РФ.</w:t>
      </w:r>
    </w:p>
    <w:p>
      <w:pPr>
        <w:pStyle w:val="BodyText"/>
      </w:pPr>
      <w:r>
        <w:t xml:space="preserve">Целью введения ЕНПФЛ является упрощение процесса уплаты физическими лицами имущественных налогов за счет экономии времени и уменьшения числа документов, которые необходимо заполнить налогоплательщику для уплаты налогов.</w:t>
      </w:r>
    </w:p>
    <w:p>
      <w:pPr>
        <w:pStyle w:val="BodyText"/>
      </w:pPr>
      <w:r>
        <w:t xml:space="preserve">1) Функция «Единый кошелек» в Интернет-сервисе «Личный кабинет налогоплательщика для физических лиц» позволяет одной суммой (единый налоговый платеж) перечислить денежные средства в счет оплаты имущественных налогов (транспортный налог, налог на имущество, земельный налог с физических лиц), а также налога на доходы физических лиц в соответствии с п. 6 ст. 228 НК РФ, в том числе авансом до наступления срока оплаты.</w:t>
      </w:r>
    </w:p>
    <w:p>
      <w:pPr>
        <w:pStyle w:val="BodyText"/>
      </w:pPr>
      <w:r>
        <w:t xml:space="preserve">2) На официальном сайте ФНС России реализован сервис «Уплата налогов и пошлин».</w:t>
      </w:r>
    </w:p>
    <w:p>
      <w:pPr>
        <w:pStyle w:val="BodyText"/>
      </w:pPr>
      <w:r>
        <w:t xml:space="preserve">Раздел «Физическим лицам» сервиса позволяет плательщикам формировать и оплачивать платежные документы на перечисление налогов и пошлин, распечатывать сформированные документы для уплаты в любой кредитной организации или осуществлять безналичную уплату с помощью онлайн-сервисов банков,</w:t>
      </w:r>
    </w:p>
    <w:p>
      <w:pPr>
        <w:pStyle w:val="BodyText"/>
      </w:pPr>
      <w:r>
        <w:t xml:space="preserve">заключивших соглашение с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http://lublino.mos.ru/directions-of-activities/taxes-and-taxation/detail/9532029.html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9532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9532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2025-07-28T00:47:37Z</dcterms:created>
  <dcterms:modified xsi:type="dcterms:W3CDTF">2025-07-28T00:47:37Z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