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aad056965ddaa31a852340826b7e8d3d52be2"/>
    <w:p>
      <w:pPr>
        <w:pStyle w:val="Heading3"/>
      </w:pPr>
      <w:r>
        <w:t xml:space="preserve">ГРАФИК проведения семинаров по предоставлению в электронном виде государственных услуг в сфере строительства на апрель - июнь 2022 года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2022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http://lublino.mos.ru/directions-of-activities/the-construction-sector/exemption-of-land/detail/10715769.html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56;&#1040;&#1060;&#1048;&#1050;%20%202%20&#1082;&#1074;%202022.docx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he-construction-sector/exemption-of-land/detail/1071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56;&#1040;&#1060;&#1048;&#1050;%20%202%20&#1082;&#1074;%202022.docx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he-construction-sector/exemption-of-land/detail/1071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2023-10-04T08:18:07Z</dcterms:created>
  <dcterms:modified xsi:type="dcterms:W3CDTF">2023-10-04T08:18:07Z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