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8aa781a206d4802d7a4f71a4e345aef957c58a5"/>
    <w:p>
      <w:pPr>
        <w:pStyle w:val="Heading3"/>
      </w:pPr>
      <w:r>
        <w:t xml:space="preserve">График проведения бесплатных обучающих семинаров для застройщиков в 4 квартале 2022 года по предоставлению в электронном виде государственных услуг в сфере строительства.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Октябрь - Декабрь 2022 года</w:t>
      </w:r>
    </w:p>
    <w:p>
      <w:pPr>
        <w:pStyle w:val="BodyText"/>
      </w:pPr>
      <w:r>
        <w:drawing>
          <wp:inline>
            <wp:extent cx="5334000" cy="28127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График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2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1782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График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7616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График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61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0278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lublino.mos.ru/www/График%2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2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05350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lublino.mos.ru/www/График%2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35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</w:t>
      </w:r>
      <w:r>
        <w:br/>
      </w:r>
      <w:r>
        <w:rPr>
          <w:iCs/>
          <w:i/>
        </w:rPr>
        <w:t xml:space="preserve">в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http://lublino.mos.ru/directions-of-activities/the-construction-sector/exemption-of-land/detail/11079287.html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Люблино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lublino.mos.ru" TargetMode="External" /><Relationship Type="http://schemas.openxmlformats.org/officeDocument/2006/relationships/hyperlink" Id="rId35" Target="http://lublino.mos.ru/directions-of-activities/the-construction-sector/exemption-of-land/detail/11079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lublino.mos.ru" TargetMode="External" /><Relationship Type="http://schemas.openxmlformats.org/officeDocument/2006/relationships/hyperlink" Id="rId35" Target="http://lublino.mos.ru/directions-of-activities/the-construction-sector/exemption-of-land/detail/11079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2024-10-15T06:39:18Z</dcterms:created>
  <dcterms:modified xsi:type="dcterms:W3CDTF">2024-10-15T06:39:18Z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