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acbda7baae8197b0b103ac7f2ec93139987142"/>
    <w:p>
      <w:pPr>
        <w:pStyle w:val="Heading3"/>
      </w:pPr>
      <w:r>
        <w:t xml:space="preserve">Графика проведения бесплатных обучающих семинаров для застройщиков в III квартале 2024 года по предоставлению в электронном виде государственных услуг в сфере строительства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drawing>
          <wp:inline>
            <wp:extent cx="5334000" cy="27470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2024-07-03_16-55-3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7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054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2024-07-03_16-57-56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5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799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2024-07-03_16-59-49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9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051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ublino.mos.ru/www/2024-07-03_17-00-3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http://lublino.mos.ru/directions-of-activities/the-construction-sector/exemption-of-land/detail/12462300.html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Люблино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3" Target="http://lublino.mos.ru" TargetMode="External" /><Relationship Type="http://schemas.openxmlformats.org/officeDocument/2006/relationships/hyperlink" Id="rId32" Target="http://lublino.mos.ru/directions-of-activities/the-construction-sector/exemption-of-land/detail/12462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lublino.mos.ru" TargetMode="External" /><Relationship Type="http://schemas.openxmlformats.org/officeDocument/2006/relationships/hyperlink" Id="rId32" Target="http://lublino.mos.ru/directions-of-activities/the-construction-sector/exemption-of-land/detail/12462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2024-07-05T02:40:15Z</dcterms:created>
  <dcterms:modified xsi:type="dcterms:W3CDTF">2024-07-05T02:40:15Z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