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6369ca1f39e15ee469cde815786ab5e7a5c82"/>
    <w:p>
      <w:pPr>
        <w:pStyle w:val="Heading3"/>
      </w:pPr>
      <w:r>
        <w:t xml:space="preserve">Об освобождении земельных участков по адресам: ул. Нижние поля, вл. 20, к. 2, ул. Краснодонская, вл. 14, стр. 6, ул. Ставропольская, вл. 35, с. 1, ул. Верхние поля, д. 31, к. 3, ул. Головачева, д. 3, к. 1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25 июля 2023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13)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Нижние поля, вл. 20, к. 2, ул. Краснодонская, вл. 14, стр. 6, ул. Ставропольская, вл. 35, с. 1, ул. Верхние поля, д. 31, к. 3, ул. Головачева, д. 3, к. 1</w:t>
      </w:r>
      <w:r>
        <w:t xml:space="preserve">, от заборов, гаражей и некапитальных строений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Нижние поля, вл. 20, к. 2, ул. Краснодонская, вл. 14, стр. 6, ул. Ставропольская, вл. 35, с. 1, ул. Верхние поля, д. 31, к. 3, ул. Головачева, д. 3, к. 1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2025-04-05T13:50:27Z</dcterms:created>
  <dcterms:modified xsi:type="dcterms:W3CDTF">2025-04-05T13:50:27Z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