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0805e5d8631fc93f602ea94fda005b7124ab3"/>
    <w:p>
      <w:pPr>
        <w:pStyle w:val="Heading3"/>
      </w:pPr>
      <w:r>
        <w:t xml:space="preserve">Об освобождении земельных участков по адресам: ул. Егорьевская, вл. 16, стр. 2, ул. Люблинская, 61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rPr>
          <w:u w:val="single"/>
          <w:bCs/>
          <w:b/>
        </w:rPr>
        <w:t xml:space="preserve">05 сентября 2023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 (</w:t>
      </w:r>
      <w:r>
        <w:rPr>
          <w:iCs/>
          <w:i/>
        </w:rPr>
        <w:t xml:space="preserve">протокол № 15)</w:t>
      </w:r>
      <w:r>
        <w:t xml:space="preserve"> </w:t>
      </w:r>
      <w:r>
        <w:t xml:space="preserve">принято решение об освобождении городских земельных участков по адресам:</w:t>
      </w:r>
      <w:r>
        <w:t xml:space="preserve"> </w:t>
      </w:r>
      <w:r>
        <w:rPr>
          <w:bCs/>
          <w:b/>
        </w:rPr>
        <w:t xml:space="preserve">ул. Егорьевская, вл. 16, стр. 2, ул. Люблинская, 61</w:t>
      </w:r>
      <w:r>
        <w:t xml:space="preserve">, от ограждений и полусфер в связи с отсутствием земельно-правовых отношений и имущественных прав.</w:t>
      </w:r>
    </w:p>
    <w:p>
      <w:pPr>
        <w:pStyle w:val="BodyText"/>
      </w:pPr>
      <w:r>
        <w:t xml:space="preserve">В соответствии с поручением Окружной комиссии в случае отказа правообладателя объекта в добровольном порядке освободить земельный участок управе района Люблино необходимо организовать мероприятия по демонтажу (перемещению) указанных объектов (его составных частей) на специально организованную для хранения площадку по адресу: ул. Егорьевская, вл. 16, стр. 2, ул. Люблинская, 61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http://lublino.mos.ru/directions-of-activities/the-construction-sector/the-release-of-land-from-illegally-placed-objects/detail/12579598.html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2025-03-30T14:16:45Z</dcterms:created>
  <dcterms:modified xsi:type="dcterms:W3CDTF">2025-03-30T14:16:45Z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