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e2a58f23c0662894dd5cf70344db9afafa78f"/>
    <w:p>
      <w:pPr>
        <w:pStyle w:val="Heading3"/>
      </w:pPr>
      <w:r>
        <w:t xml:space="preserve">Об освобождении земельных участков по адресам: ул. Тихорецкий бульвар, вл. 1, ул. Краснодарская, вл. 10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05 апреля 2024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6)</w:t>
      </w:r>
      <w:r>
        <w:t xml:space="preserve"> </w:t>
      </w:r>
      <w:r>
        <w:t xml:space="preserve">принято решение об освобождении городских земельных участков по адресам:</w:t>
      </w:r>
      <w:r>
        <w:t xml:space="preserve"> </w:t>
      </w:r>
      <w:r>
        <w:rPr>
          <w:bCs/>
          <w:b/>
        </w:rPr>
        <w:t xml:space="preserve">ул. Тихорецкий бульвар, вл. 1, ул. Краснодарская, вл. 10</w:t>
      </w:r>
      <w:r>
        <w:t xml:space="preserve">, от некапитальных строений и металлических тентов, шлагбаумов и металлических ограждений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ул. Тихорецкий бульвар, вл. 1, ул. Краснодарская, вл. 10,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2025-04-03T09:38:58Z</dcterms:created>
  <dcterms:modified xsi:type="dcterms:W3CDTF">2025-04-03T09:38:58Z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