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обязанности-владельцев-животных"/>
    <w:p>
      <w:pPr>
        <w:pStyle w:val="Heading3"/>
      </w:pPr>
      <w:r>
        <w:t xml:space="preserve">ОБЯЗАННОСТИ ВЛАДЕЛЬЦЕВ ЖИВОТНЫХ</w:t>
      </w:r>
    </w:p>
    <w:p>
      <w:pPr>
        <w:pStyle w:val="FirstParagraph"/>
      </w:pPr>
      <w:r>
        <w:t xml:space="preserve">17.04.2024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4502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1Памятки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0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743450" cy="679132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lublino.mos.ru/www/животные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6791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http://lublino.mos.ru/directions-of-activities/veterinary-service-district/detail/12319977.html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Люблино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lublino.mos.ru" TargetMode="External" /><Relationship Type="http://schemas.openxmlformats.org/officeDocument/2006/relationships/hyperlink" Id="rId26" Target="http://lublino.mos.ru/directions-of-activities/veterinary-service-district/detail/123199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lublino.mos.ru" TargetMode="External" /><Relationship Type="http://schemas.openxmlformats.org/officeDocument/2006/relationships/hyperlink" Id="rId26" Target="http://lublino.mos.ru/directions-of-activities/veterinary-service-district/detail/123199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2025-04-09T22:11:41Z</dcterms:created>
  <dcterms:modified xsi:type="dcterms:W3CDTF">2025-04-09T22:11:41Z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