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ade3e4be1ee788221da07f87388c035c68130"/>
    <w:p>
      <w:pPr>
        <w:pStyle w:val="Heading3"/>
      </w:pPr>
      <w:r>
        <w:t xml:space="preserve">Возобновление работы выездных прививочных пунктов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Государственная ветеринарная служба информирует Вас о том, что в соответствии с указом Мэра Москвы от 08.06.02020 г. №68-УМ "Об этапах снятия ограничений, установленных в связи с ведением режима повышенной готовности" возобновляется работа выездных прививочных пунктов вакцинации животных против бешенства, проведение противоэпизоотических мероприятий и предоставление ветеринарных услуг в полном объеме, с учетом строгого соблюдения требований по профилактике и недопущению распространения новой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http://lublino.mos.ru/directions-of-activities/veterinary-service-district/detail/9007851.html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007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007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2025-04-13T23:56:37Z</dcterms:created>
  <dcterms:modified xsi:type="dcterms:W3CDTF">2025-04-13T23:56:37Z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